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20C9C" w14:textId="53E97534" w:rsidR="00090063" w:rsidRPr="0080490E" w:rsidRDefault="00090063" w:rsidP="0080490E">
      <w:pPr>
        <w:spacing w:after="0" w:line="276" w:lineRule="auto"/>
        <w:ind w:firstLine="0"/>
        <w:jc w:val="center"/>
        <w:rPr>
          <w:rFonts w:asciiTheme="minorHAnsi" w:hAnsiTheme="minorHAnsi" w:cstheme="minorHAnsi"/>
          <w:b/>
          <w:bCs/>
          <w:szCs w:val="24"/>
        </w:rPr>
      </w:pPr>
      <w:r w:rsidRPr="0080490E">
        <w:rPr>
          <w:rFonts w:asciiTheme="minorHAnsi" w:hAnsiTheme="minorHAnsi" w:cstheme="minorHAnsi"/>
          <w:b/>
          <w:bCs/>
          <w:szCs w:val="24"/>
        </w:rPr>
        <w:t>La inversión inmobiliaria</w:t>
      </w:r>
      <w:r w:rsidR="005C3606" w:rsidRPr="0080490E">
        <w:rPr>
          <w:rFonts w:asciiTheme="minorHAnsi" w:hAnsiTheme="minorHAnsi" w:cstheme="minorHAnsi"/>
          <w:b/>
          <w:bCs/>
          <w:szCs w:val="24"/>
        </w:rPr>
        <w:t xml:space="preserve"> directa</w:t>
      </w:r>
      <w:r w:rsidRPr="0080490E">
        <w:rPr>
          <w:rFonts w:asciiTheme="minorHAnsi" w:hAnsiTheme="minorHAnsi" w:cstheme="minorHAnsi"/>
          <w:b/>
          <w:bCs/>
          <w:szCs w:val="24"/>
        </w:rPr>
        <w:t xml:space="preserve"> a través de tokens</w:t>
      </w:r>
      <w:r w:rsidR="001E644C" w:rsidRPr="0080490E">
        <w:rPr>
          <w:rStyle w:val="Refdenotaalpie"/>
          <w:rFonts w:asciiTheme="minorHAnsi" w:hAnsiTheme="minorHAnsi" w:cstheme="minorHAnsi"/>
          <w:b/>
          <w:bCs/>
          <w:szCs w:val="24"/>
        </w:rPr>
        <w:footnoteReference w:id="1"/>
      </w:r>
    </w:p>
    <w:p w14:paraId="7E924B80" w14:textId="59736C1D" w:rsidR="00090063" w:rsidRPr="0080490E" w:rsidRDefault="00090063" w:rsidP="0080490E">
      <w:pPr>
        <w:spacing w:after="0" w:line="276" w:lineRule="auto"/>
        <w:ind w:firstLine="0"/>
        <w:jc w:val="center"/>
        <w:rPr>
          <w:rFonts w:asciiTheme="minorHAnsi" w:hAnsiTheme="minorHAnsi" w:cstheme="minorHAnsi"/>
          <w:i/>
          <w:iCs/>
          <w:sz w:val="20"/>
          <w:szCs w:val="20"/>
        </w:rPr>
      </w:pPr>
      <w:r w:rsidRPr="0080490E">
        <w:rPr>
          <w:rFonts w:asciiTheme="minorHAnsi" w:hAnsiTheme="minorHAnsi" w:cstheme="minorHAnsi"/>
          <w:i/>
          <w:iCs/>
          <w:sz w:val="20"/>
          <w:szCs w:val="20"/>
        </w:rPr>
        <w:t>Luis Javier Arrieta Sevilla</w:t>
      </w:r>
    </w:p>
    <w:p w14:paraId="07190869" w14:textId="3DDBC4A9" w:rsidR="00090063" w:rsidRPr="0080490E" w:rsidRDefault="00090063" w:rsidP="0080490E">
      <w:pPr>
        <w:spacing w:after="0" w:line="276" w:lineRule="auto"/>
        <w:ind w:firstLine="0"/>
        <w:jc w:val="center"/>
        <w:rPr>
          <w:rFonts w:asciiTheme="minorHAnsi" w:hAnsiTheme="minorHAnsi" w:cstheme="minorHAnsi"/>
          <w:sz w:val="20"/>
          <w:szCs w:val="20"/>
          <w:lang w:val="en-AU"/>
        </w:rPr>
      </w:pPr>
      <w:r w:rsidRPr="0080490E">
        <w:rPr>
          <w:rFonts w:asciiTheme="minorHAnsi" w:hAnsiTheme="minorHAnsi" w:cstheme="minorHAnsi"/>
          <w:sz w:val="20"/>
          <w:szCs w:val="20"/>
        </w:rPr>
        <w:t xml:space="preserve">Profesor </w:t>
      </w:r>
      <w:r w:rsidR="004D6D64" w:rsidRPr="0080490E">
        <w:rPr>
          <w:rFonts w:asciiTheme="minorHAnsi" w:hAnsiTheme="minorHAnsi" w:cstheme="minorHAnsi"/>
          <w:sz w:val="20"/>
          <w:szCs w:val="20"/>
        </w:rPr>
        <w:t>Titular</w:t>
      </w:r>
      <w:r w:rsidRPr="0080490E">
        <w:rPr>
          <w:rFonts w:asciiTheme="minorHAnsi" w:hAnsiTheme="minorHAnsi" w:cstheme="minorHAnsi"/>
          <w:sz w:val="20"/>
          <w:szCs w:val="20"/>
        </w:rPr>
        <w:t xml:space="preserve"> de Derecho civil. </w:t>
      </w:r>
      <w:r w:rsidRPr="0080490E">
        <w:rPr>
          <w:rFonts w:asciiTheme="minorHAnsi" w:hAnsiTheme="minorHAnsi" w:cstheme="minorHAnsi"/>
          <w:sz w:val="20"/>
          <w:szCs w:val="20"/>
          <w:lang w:val="en-AU"/>
        </w:rPr>
        <w:t>Universidad de Navarra</w:t>
      </w:r>
    </w:p>
    <w:p w14:paraId="5FA18EA0" w14:textId="77777777" w:rsidR="001E644C" w:rsidRPr="0080490E" w:rsidRDefault="001E644C" w:rsidP="0080490E">
      <w:pPr>
        <w:spacing w:after="0" w:line="276" w:lineRule="auto"/>
        <w:ind w:firstLine="0"/>
        <w:jc w:val="center"/>
        <w:rPr>
          <w:rFonts w:asciiTheme="minorHAnsi" w:hAnsiTheme="minorHAnsi" w:cstheme="minorHAnsi"/>
          <w:szCs w:val="24"/>
          <w:lang w:val="en-AU"/>
        </w:rPr>
        <w:sectPr w:rsidR="001E644C" w:rsidRPr="0080490E" w:rsidSect="00780112">
          <w:footerReference w:type="default" r:id="rId9"/>
          <w:footnotePr>
            <w:numFmt w:val="chicago"/>
          </w:footnotePr>
          <w:pgSz w:w="11906" w:h="16838"/>
          <w:pgMar w:top="1417" w:right="1701" w:bottom="1417" w:left="1701" w:header="708" w:footer="708" w:gutter="0"/>
          <w:cols w:space="708"/>
          <w:docGrid w:linePitch="360"/>
        </w:sectPr>
      </w:pPr>
    </w:p>
    <w:p w14:paraId="4D3A8EDC" w14:textId="0731EB35" w:rsidR="00090063" w:rsidRPr="0080490E" w:rsidRDefault="00090063" w:rsidP="0080490E">
      <w:pPr>
        <w:spacing w:after="0" w:line="276" w:lineRule="auto"/>
        <w:ind w:firstLine="0"/>
        <w:jc w:val="center"/>
        <w:rPr>
          <w:rFonts w:asciiTheme="minorHAnsi" w:hAnsiTheme="minorHAnsi" w:cstheme="minorHAnsi"/>
          <w:sz w:val="20"/>
          <w:szCs w:val="20"/>
          <w:lang w:val="en-AU"/>
        </w:rPr>
      </w:pPr>
    </w:p>
    <w:p w14:paraId="21190E5F" w14:textId="77777777" w:rsidR="00FF65FD" w:rsidRPr="0080490E" w:rsidRDefault="00FF65FD" w:rsidP="0080490E">
      <w:pPr>
        <w:spacing w:after="0" w:line="276" w:lineRule="auto"/>
        <w:ind w:firstLine="0"/>
        <w:jc w:val="center"/>
        <w:rPr>
          <w:rFonts w:asciiTheme="minorHAnsi" w:hAnsiTheme="minorHAnsi" w:cstheme="minorHAnsi"/>
          <w:sz w:val="20"/>
          <w:szCs w:val="20"/>
          <w:lang w:val="en-AU"/>
        </w:rPr>
      </w:pPr>
    </w:p>
    <w:p w14:paraId="48CF3B2B" w14:textId="28895658" w:rsidR="00D80B49" w:rsidRPr="0080490E" w:rsidRDefault="00D80B49" w:rsidP="0080490E">
      <w:pPr>
        <w:spacing w:after="0" w:line="276" w:lineRule="auto"/>
        <w:ind w:firstLine="0"/>
        <w:rPr>
          <w:rFonts w:asciiTheme="minorHAnsi" w:hAnsiTheme="minorHAnsi" w:cstheme="minorHAnsi"/>
          <w:sz w:val="20"/>
          <w:szCs w:val="20"/>
          <w:lang w:val="en-AU"/>
        </w:rPr>
      </w:pPr>
      <w:r w:rsidRPr="0080490E">
        <w:rPr>
          <w:rFonts w:asciiTheme="minorHAnsi" w:hAnsiTheme="minorHAnsi" w:cstheme="minorHAnsi"/>
          <w:smallCaps/>
          <w:sz w:val="20"/>
          <w:szCs w:val="20"/>
          <w:lang w:val="en-AU"/>
        </w:rPr>
        <w:t>Title</w:t>
      </w:r>
      <w:r w:rsidRPr="0080490E">
        <w:rPr>
          <w:rFonts w:asciiTheme="minorHAnsi" w:hAnsiTheme="minorHAnsi" w:cstheme="minorHAnsi"/>
          <w:sz w:val="20"/>
          <w:szCs w:val="20"/>
          <w:lang w:val="en-AU"/>
        </w:rPr>
        <w:t>:</w:t>
      </w:r>
      <w:r w:rsidR="00ED5192" w:rsidRPr="0080490E">
        <w:rPr>
          <w:rFonts w:asciiTheme="minorHAnsi" w:hAnsiTheme="minorHAnsi" w:cstheme="minorHAnsi"/>
          <w:sz w:val="20"/>
          <w:szCs w:val="20"/>
          <w:lang w:val="en-AU"/>
        </w:rPr>
        <w:t xml:space="preserve"> </w:t>
      </w:r>
      <w:r w:rsidR="00ED5192" w:rsidRPr="0080490E">
        <w:rPr>
          <w:rFonts w:asciiTheme="minorHAnsi" w:hAnsiTheme="minorHAnsi" w:cstheme="minorHAnsi"/>
          <w:i/>
          <w:iCs/>
          <w:sz w:val="20"/>
          <w:szCs w:val="20"/>
          <w:lang w:val="en-AU"/>
        </w:rPr>
        <w:t>Direct real estate investment through tokens</w:t>
      </w:r>
    </w:p>
    <w:p w14:paraId="5F8C579A" w14:textId="443CACD1" w:rsidR="00D80B49" w:rsidRPr="0080490E" w:rsidRDefault="00D80B49" w:rsidP="0080490E">
      <w:pPr>
        <w:spacing w:after="0" w:line="276" w:lineRule="auto"/>
        <w:ind w:firstLine="0"/>
        <w:rPr>
          <w:rFonts w:asciiTheme="minorHAnsi" w:hAnsiTheme="minorHAnsi" w:cstheme="minorHAnsi"/>
          <w:sz w:val="20"/>
          <w:szCs w:val="20"/>
        </w:rPr>
      </w:pPr>
      <w:r w:rsidRPr="0080490E">
        <w:rPr>
          <w:rFonts w:asciiTheme="minorHAnsi" w:hAnsiTheme="minorHAnsi" w:cstheme="minorHAnsi"/>
          <w:smallCaps/>
          <w:sz w:val="20"/>
          <w:szCs w:val="20"/>
        </w:rPr>
        <w:t>Resumen</w:t>
      </w:r>
      <w:r w:rsidRPr="0080490E">
        <w:rPr>
          <w:rFonts w:asciiTheme="minorHAnsi" w:hAnsiTheme="minorHAnsi" w:cstheme="minorHAnsi"/>
          <w:sz w:val="20"/>
          <w:szCs w:val="20"/>
        </w:rPr>
        <w:t xml:space="preserve">: La inversión tokenizada es un fenómeno reciente que busca mejorar los métodos tradicionales de inversión. De ahí que la tokenización no </w:t>
      </w:r>
      <w:r w:rsidR="002F4A67" w:rsidRPr="0080490E">
        <w:rPr>
          <w:rFonts w:asciiTheme="minorHAnsi" w:hAnsiTheme="minorHAnsi" w:cstheme="minorHAnsi"/>
          <w:sz w:val="20"/>
          <w:szCs w:val="20"/>
        </w:rPr>
        <w:t>genere</w:t>
      </w:r>
      <w:r w:rsidRPr="0080490E">
        <w:rPr>
          <w:rFonts w:asciiTheme="minorHAnsi" w:hAnsiTheme="minorHAnsi" w:cstheme="minorHAnsi"/>
          <w:sz w:val="20"/>
          <w:szCs w:val="20"/>
        </w:rPr>
        <w:t xml:space="preserve"> nuevas oportunidades</w:t>
      </w:r>
      <w:r w:rsidR="00ED5192" w:rsidRPr="0080490E">
        <w:rPr>
          <w:rFonts w:asciiTheme="minorHAnsi" w:hAnsiTheme="minorHAnsi" w:cstheme="minorHAnsi"/>
          <w:sz w:val="20"/>
          <w:szCs w:val="20"/>
        </w:rPr>
        <w:t xml:space="preserve"> o contextos de </w:t>
      </w:r>
      <w:r w:rsidR="004B7AC9" w:rsidRPr="0080490E">
        <w:rPr>
          <w:rFonts w:asciiTheme="minorHAnsi" w:hAnsiTheme="minorHAnsi" w:cstheme="minorHAnsi"/>
          <w:sz w:val="20"/>
          <w:szCs w:val="20"/>
        </w:rPr>
        <w:t>negocio,</w:t>
      </w:r>
      <w:r w:rsidRPr="0080490E">
        <w:rPr>
          <w:rFonts w:asciiTheme="minorHAnsi" w:hAnsiTheme="minorHAnsi" w:cstheme="minorHAnsi"/>
          <w:sz w:val="20"/>
          <w:szCs w:val="20"/>
        </w:rPr>
        <w:t xml:space="preserve"> sino que</w:t>
      </w:r>
      <w:r w:rsidR="000C7994" w:rsidRPr="0080490E">
        <w:rPr>
          <w:rFonts w:asciiTheme="minorHAnsi" w:hAnsiTheme="minorHAnsi" w:cstheme="minorHAnsi"/>
          <w:sz w:val="20"/>
          <w:szCs w:val="20"/>
        </w:rPr>
        <w:t>,</w:t>
      </w:r>
      <w:r w:rsidRPr="0080490E">
        <w:rPr>
          <w:rFonts w:asciiTheme="minorHAnsi" w:hAnsiTheme="minorHAnsi" w:cstheme="minorHAnsi"/>
          <w:sz w:val="20"/>
          <w:szCs w:val="20"/>
        </w:rPr>
        <w:t xml:space="preserve"> simplemente</w:t>
      </w:r>
      <w:r w:rsidR="000C7994" w:rsidRPr="0080490E">
        <w:rPr>
          <w:rFonts w:asciiTheme="minorHAnsi" w:hAnsiTheme="minorHAnsi" w:cstheme="minorHAnsi"/>
          <w:sz w:val="20"/>
          <w:szCs w:val="20"/>
        </w:rPr>
        <w:t>,</w:t>
      </w:r>
      <w:r w:rsidRPr="0080490E">
        <w:rPr>
          <w:rFonts w:asciiTheme="minorHAnsi" w:hAnsiTheme="minorHAnsi" w:cstheme="minorHAnsi"/>
          <w:sz w:val="20"/>
          <w:szCs w:val="20"/>
        </w:rPr>
        <w:t xml:space="preserve"> </w:t>
      </w:r>
      <w:r w:rsidR="00ED5192" w:rsidRPr="0080490E">
        <w:rPr>
          <w:rFonts w:asciiTheme="minorHAnsi" w:hAnsiTheme="minorHAnsi" w:cstheme="minorHAnsi"/>
          <w:sz w:val="20"/>
          <w:szCs w:val="20"/>
        </w:rPr>
        <w:t>adapta</w:t>
      </w:r>
      <w:r w:rsidRPr="0080490E">
        <w:rPr>
          <w:rFonts w:asciiTheme="minorHAnsi" w:hAnsiTheme="minorHAnsi" w:cstheme="minorHAnsi"/>
          <w:sz w:val="20"/>
          <w:szCs w:val="20"/>
        </w:rPr>
        <w:t xml:space="preserve"> una tecnología a l</w:t>
      </w:r>
      <w:r w:rsidR="002F4A67" w:rsidRPr="0080490E">
        <w:rPr>
          <w:rFonts w:asciiTheme="minorHAnsi" w:hAnsiTheme="minorHAnsi" w:cstheme="minorHAnsi"/>
          <w:sz w:val="20"/>
          <w:szCs w:val="20"/>
        </w:rPr>
        <w:t>o</w:t>
      </w:r>
      <w:r w:rsidRPr="0080490E">
        <w:rPr>
          <w:rFonts w:asciiTheme="minorHAnsi" w:hAnsiTheme="minorHAnsi" w:cstheme="minorHAnsi"/>
          <w:sz w:val="20"/>
          <w:szCs w:val="20"/>
        </w:rPr>
        <w:t xml:space="preserve">s </w:t>
      </w:r>
      <w:r w:rsidR="007920E0" w:rsidRPr="0080490E">
        <w:rPr>
          <w:rFonts w:asciiTheme="minorHAnsi" w:hAnsiTheme="minorHAnsi" w:cstheme="minorHAnsi"/>
          <w:sz w:val="20"/>
          <w:szCs w:val="20"/>
        </w:rPr>
        <w:t>sectores</w:t>
      </w:r>
      <w:r w:rsidRPr="0080490E">
        <w:rPr>
          <w:rFonts w:asciiTheme="minorHAnsi" w:hAnsiTheme="minorHAnsi" w:cstheme="minorHAnsi"/>
          <w:sz w:val="20"/>
          <w:szCs w:val="20"/>
        </w:rPr>
        <w:t xml:space="preserve"> </w:t>
      </w:r>
      <w:r w:rsidR="001F7703" w:rsidRPr="0080490E">
        <w:rPr>
          <w:rFonts w:asciiTheme="minorHAnsi" w:hAnsiTheme="minorHAnsi" w:cstheme="minorHAnsi"/>
          <w:sz w:val="20"/>
          <w:szCs w:val="20"/>
        </w:rPr>
        <w:t xml:space="preserve">clásicos </w:t>
      </w:r>
      <w:r w:rsidR="007920E0" w:rsidRPr="0080490E">
        <w:rPr>
          <w:rFonts w:asciiTheme="minorHAnsi" w:hAnsiTheme="minorHAnsi" w:cstheme="minorHAnsi"/>
          <w:sz w:val="20"/>
          <w:szCs w:val="20"/>
        </w:rPr>
        <w:t>de inversión</w:t>
      </w:r>
      <w:r w:rsidRPr="0080490E">
        <w:rPr>
          <w:rFonts w:asciiTheme="minorHAnsi" w:hAnsiTheme="minorHAnsi" w:cstheme="minorHAnsi"/>
          <w:sz w:val="20"/>
          <w:szCs w:val="20"/>
        </w:rPr>
        <w:t xml:space="preserve">. Uno de los retos de la inversión tokenizada es definir su </w:t>
      </w:r>
      <w:r w:rsidR="001F7703" w:rsidRPr="0080490E">
        <w:rPr>
          <w:rFonts w:asciiTheme="minorHAnsi" w:hAnsiTheme="minorHAnsi" w:cstheme="minorHAnsi"/>
          <w:sz w:val="20"/>
          <w:szCs w:val="20"/>
        </w:rPr>
        <w:t xml:space="preserve">marco normativo </w:t>
      </w:r>
      <w:r w:rsidRPr="0080490E">
        <w:rPr>
          <w:rFonts w:asciiTheme="minorHAnsi" w:hAnsiTheme="minorHAnsi" w:cstheme="minorHAnsi"/>
          <w:sz w:val="20"/>
          <w:szCs w:val="20"/>
        </w:rPr>
        <w:t xml:space="preserve">y esclarecer la relevancia </w:t>
      </w:r>
      <w:r w:rsidR="001F7703" w:rsidRPr="0080490E">
        <w:rPr>
          <w:rFonts w:asciiTheme="minorHAnsi" w:hAnsiTheme="minorHAnsi" w:cstheme="minorHAnsi"/>
          <w:sz w:val="20"/>
          <w:szCs w:val="20"/>
        </w:rPr>
        <w:t xml:space="preserve">jurídica </w:t>
      </w:r>
      <w:r w:rsidR="007920E0" w:rsidRPr="0080490E">
        <w:rPr>
          <w:rFonts w:asciiTheme="minorHAnsi" w:hAnsiTheme="minorHAnsi" w:cstheme="minorHAnsi"/>
          <w:sz w:val="20"/>
          <w:szCs w:val="20"/>
        </w:rPr>
        <w:t xml:space="preserve">que presenta </w:t>
      </w:r>
      <w:r w:rsidRPr="0080490E">
        <w:rPr>
          <w:rFonts w:asciiTheme="minorHAnsi" w:hAnsiTheme="minorHAnsi" w:cstheme="minorHAnsi"/>
          <w:sz w:val="20"/>
          <w:szCs w:val="20"/>
        </w:rPr>
        <w:t xml:space="preserve">el empleo de tokens. En particular, este trabajo </w:t>
      </w:r>
      <w:r w:rsidR="007920E0" w:rsidRPr="0080490E">
        <w:rPr>
          <w:rFonts w:asciiTheme="minorHAnsi" w:hAnsiTheme="minorHAnsi" w:cstheme="minorHAnsi"/>
          <w:sz w:val="20"/>
          <w:szCs w:val="20"/>
        </w:rPr>
        <w:t xml:space="preserve">describe </w:t>
      </w:r>
      <w:r w:rsidRPr="0080490E">
        <w:rPr>
          <w:rFonts w:asciiTheme="minorHAnsi" w:hAnsiTheme="minorHAnsi" w:cstheme="minorHAnsi"/>
          <w:sz w:val="20"/>
          <w:szCs w:val="20"/>
        </w:rPr>
        <w:t xml:space="preserve">un modelo de inversión </w:t>
      </w:r>
      <w:r w:rsidR="001F7703" w:rsidRPr="0080490E">
        <w:rPr>
          <w:rFonts w:asciiTheme="minorHAnsi" w:hAnsiTheme="minorHAnsi" w:cstheme="minorHAnsi"/>
          <w:sz w:val="20"/>
          <w:szCs w:val="20"/>
        </w:rPr>
        <w:t xml:space="preserve">inmobiliaria </w:t>
      </w:r>
      <w:r w:rsidRPr="0080490E">
        <w:rPr>
          <w:rFonts w:asciiTheme="minorHAnsi" w:hAnsiTheme="minorHAnsi" w:cstheme="minorHAnsi"/>
          <w:sz w:val="20"/>
          <w:szCs w:val="20"/>
        </w:rPr>
        <w:t xml:space="preserve">tokenizada directa y analiza las diferencias que presenta con la financiación participativa y con los instrumentos financieros y valores negociables. El estudio sostiene la posibilidad de utilizar figuras </w:t>
      </w:r>
      <w:r w:rsidR="001F7703" w:rsidRPr="0080490E">
        <w:rPr>
          <w:rFonts w:asciiTheme="minorHAnsi" w:hAnsiTheme="minorHAnsi" w:cstheme="minorHAnsi"/>
          <w:sz w:val="20"/>
          <w:szCs w:val="20"/>
        </w:rPr>
        <w:t xml:space="preserve">tradicionales </w:t>
      </w:r>
      <w:r w:rsidR="00ED5192" w:rsidRPr="0080490E">
        <w:rPr>
          <w:rFonts w:asciiTheme="minorHAnsi" w:hAnsiTheme="minorHAnsi" w:cstheme="minorHAnsi"/>
          <w:sz w:val="20"/>
          <w:szCs w:val="20"/>
        </w:rPr>
        <w:t xml:space="preserve">como el préstamo participativo </w:t>
      </w:r>
      <w:r w:rsidR="006D2245" w:rsidRPr="0080490E">
        <w:rPr>
          <w:rFonts w:asciiTheme="minorHAnsi" w:hAnsiTheme="minorHAnsi" w:cstheme="minorHAnsi"/>
          <w:sz w:val="20"/>
          <w:szCs w:val="20"/>
        </w:rPr>
        <w:t>o el contrato de</w:t>
      </w:r>
      <w:r w:rsidR="00ED5192" w:rsidRPr="0080490E">
        <w:rPr>
          <w:rFonts w:asciiTheme="minorHAnsi" w:hAnsiTheme="minorHAnsi" w:cstheme="minorHAnsi"/>
          <w:sz w:val="20"/>
          <w:szCs w:val="20"/>
        </w:rPr>
        <w:t xml:space="preserve"> cuenta en participación </w:t>
      </w:r>
      <w:r w:rsidRPr="0080490E">
        <w:rPr>
          <w:rFonts w:asciiTheme="minorHAnsi" w:hAnsiTheme="minorHAnsi" w:cstheme="minorHAnsi"/>
          <w:sz w:val="20"/>
          <w:szCs w:val="20"/>
        </w:rPr>
        <w:t xml:space="preserve">como </w:t>
      </w:r>
      <w:r w:rsidR="00ED5192" w:rsidRPr="0080490E">
        <w:rPr>
          <w:rFonts w:asciiTheme="minorHAnsi" w:hAnsiTheme="minorHAnsi" w:cstheme="minorHAnsi"/>
          <w:sz w:val="20"/>
          <w:szCs w:val="20"/>
        </w:rPr>
        <w:t xml:space="preserve">relación </w:t>
      </w:r>
      <w:r w:rsidR="006D2245" w:rsidRPr="0080490E">
        <w:rPr>
          <w:rFonts w:asciiTheme="minorHAnsi" w:hAnsiTheme="minorHAnsi" w:cstheme="minorHAnsi"/>
          <w:sz w:val="20"/>
          <w:szCs w:val="20"/>
        </w:rPr>
        <w:t xml:space="preserve">jurídica </w:t>
      </w:r>
      <w:r w:rsidR="00ED5192" w:rsidRPr="0080490E">
        <w:rPr>
          <w:rFonts w:asciiTheme="minorHAnsi" w:hAnsiTheme="minorHAnsi" w:cstheme="minorHAnsi"/>
          <w:sz w:val="20"/>
          <w:szCs w:val="20"/>
        </w:rPr>
        <w:t>subyacente</w:t>
      </w:r>
      <w:r w:rsidR="006D2245" w:rsidRPr="0080490E">
        <w:rPr>
          <w:rFonts w:asciiTheme="minorHAnsi" w:hAnsiTheme="minorHAnsi" w:cstheme="minorHAnsi"/>
          <w:sz w:val="20"/>
          <w:szCs w:val="20"/>
        </w:rPr>
        <w:t xml:space="preserve"> </w:t>
      </w:r>
      <w:r w:rsidR="00013663" w:rsidRPr="0080490E">
        <w:rPr>
          <w:rFonts w:asciiTheme="minorHAnsi" w:hAnsiTheme="minorHAnsi" w:cstheme="minorHAnsi"/>
          <w:sz w:val="20"/>
          <w:szCs w:val="20"/>
        </w:rPr>
        <w:t>a la tokenización</w:t>
      </w:r>
      <w:r w:rsidR="008C40AE" w:rsidRPr="0080490E">
        <w:rPr>
          <w:rFonts w:asciiTheme="minorHAnsi" w:hAnsiTheme="minorHAnsi" w:cstheme="minorHAnsi"/>
          <w:sz w:val="20"/>
          <w:szCs w:val="20"/>
        </w:rPr>
        <w:t xml:space="preserve">. </w:t>
      </w:r>
      <w:r w:rsidR="00013663" w:rsidRPr="0080490E">
        <w:rPr>
          <w:rFonts w:asciiTheme="minorHAnsi" w:hAnsiTheme="minorHAnsi" w:cstheme="minorHAnsi"/>
          <w:sz w:val="20"/>
          <w:szCs w:val="20"/>
        </w:rPr>
        <w:t>Con base en el principio de neutralidad tecnológica y la autonomía de la voluntad del emisor en el diseño de la función representativa de los tokens, aquellas formas contractuales</w:t>
      </w:r>
      <w:r w:rsidR="006D2245" w:rsidRPr="0080490E">
        <w:rPr>
          <w:rFonts w:asciiTheme="minorHAnsi" w:hAnsiTheme="minorHAnsi" w:cstheme="minorHAnsi"/>
          <w:sz w:val="20"/>
          <w:szCs w:val="20"/>
        </w:rPr>
        <w:t>, junto con la normativa sobre condiciones generales y de tutela de los consumidores,</w:t>
      </w:r>
      <w:r w:rsidR="00ED5192" w:rsidRPr="0080490E">
        <w:rPr>
          <w:rFonts w:asciiTheme="minorHAnsi" w:hAnsiTheme="minorHAnsi" w:cstheme="minorHAnsi"/>
          <w:sz w:val="20"/>
          <w:szCs w:val="20"/>
        </w:rPr>
        <w:t xml:space="preserve"> </w:t>
      </w:r>
      <w:r w:rsidR="006D2245" w:rsidRPr="0080490E">
        <w:rPr>
          <w:rFonts w:asciiTheme="minorHAnsi" w:hAnsiTheme="minorHAnsi" w:cstheme="minorHAnsi"/>
          <w:sz w:val="20"/>
          <w:szCs w:val="20"/>
        </w:rPr>
        <w:t xml:space="preserve">ofrecen plena cobertura legal a </w:t>
      </w:r>
      <w:r w:rsidRPr="0080490E">
        <w:rPr>
          <w:rFonts w:asciiTheme="minorHAnsi" w:hAnsiTheme="minorHAnsi" w:cstheme="minorHAnsi"/>
          <w:sz w:val="20"/>
          <w:szCs w:val="20"/>
        </w:rPr>
        <w:t xml:space="preserve">la </w:t>
      </w:r>
      <w:r w:rsidR="00367518" w:rsidRPr="0080490E">
        <w:rPr>
          <w:rFonts w:asciiTheme="minorHAnsi" w:hAnsiTheme="minorHAnsi" w:cstheme="minorHAnsi"/>
          <w:sz w:val="20"/>
          <w:szCs w:val="20"/>
        </w:rPr>
        <w:t>inversión</w:t>
      </w:r>
      <w:r w:rsidR="006D2245" w:rsidRPr="0080490E">
        <w:rPr>
          <w:rFonts w:asciiTheme="minorHAnsi" w:hAnsiTheme="minorHAnsi" w:cstheme="minorHAnsi"/>
          <w:sz w:val="20"/>
          <w:szCs w:val="20"/>
        </w:rPr>
        <w:t xml:space="preserve">, sin que resulte de aplicación la Ley del Mercado de Valores y </w:t>
      </w:r>
      <w:r w:rsidR="004E1A27" w:rsidRPr="0080490E">
        <w:rPr>
          <w:rFonts w:asciiTheme="minorHAnsi" w:hAnsiTheme="minorHAnsi" w:cstheme="minorHAnsi"/>
          <w:sz w:val="20"/>
          <w:szCs w:val="20"/>
        </w:rPr>
        <w:t>solo de forma</w:t>
      </w:r>
      <w:r w:rsidR="006D2245" w:rsidRPr="0080490E">
        <w:rPr>
          <w:rFonts w:asciiTheme="minorHAnsi" w:hAnsiTheme="minorHAnsi" w:cstheme="minorHAnsi"/>
          <w:sz w:val="20"/>
          <w:szCs w:val="20"/>
        </w:rPr>
        <w:t xml:space="preserve"> </w:t>
      </w:r>
      <w:r w:rsidR="004E1A27" w:rsidRPr="0080490E">
        <w:rPr>
          <w:rFonts w:asciiTheme="minorHAnsi" w:hAnsiTheme="minorHAnsi" w:cstheme="minorHAnsi"/>
          <w:sz w:val="20"/>
          <w:szCs w:val="20"/>
        </w:rPr>
        <w:t xml:space="preserve">limitada </w:t>
      </w:r>
      <w:r w:rsidR="006D2245" w:rsidRPr="0080490E">
        <w:rPr>
          <w:rFonts w:asciiTheme="minorHAnsi" w:hAnsiTheme="minorHAnsi" w:cstheme="minorHAnsi"/>
          <w:sz w:val="20"/>
          <w:szCs w:val="20"/>
        </w:rPr>
        <w:t>el Reglamento sobre Mercados de Criptoactivos (MiCA).</w:t>
      </w:r>
    </w:p>
    <w:p w14:paraId="79D75F3E" w14:textId="77777777" w:rsidR="00AC40F1" w:rsidRPr="0080490E" w:rsidRDefault="00AC40F1" w:rsidP="0080490E">
      <w:pPr>
        <w:spacing w:after="0" w:line="276" w:lineRule="auto"/>
        <w:ind w:firstLine="0"/>
        <w:rPr>
          <w:rFonts w:asciiTheme="minorHAnsi" w:hAnsiTheme="minorHAnsi" w:cstheme="minorHAnsi"/>
          <w:sz w:val="20"/>
          <w:szCs w:val="20"/>
        </w:rPr>
      </w:pPr>
    </w:p>
    <w:p w14:paraId="0C486F62" w14:textId="2C6FB28B" w:rsidR="0085461D" w:rsidRPr="0080490E" w:rsidRDefault="0085461D" w:rsidP="0080490E">
      <w:pPr>
        <w:spacing w:after="0" w:line="276" w:lineRule="auto"/>
        <w:ind w:firstLine="0"/>
        <w:rPr>
          <w:rFonts w:asciiTheme="minorHAnsi" w:hAnsiTheme="minorHAnsi" w:cstheme="minorHAnsi"/>
          <w:i/>
          <w:sz w:val="20"/>
          <w:szCs w:val="20"/>
          <w:lang w:val="en-AU"/>
        </w:rPr>
      </w:pPr>
      <w:r w:rsidRPr="0080490E">
        <w:rPr>
          <w:rFonts w:asciiTheme="minorHAnsi" w:hAnsiTheme="minorHAnsi" w:cstheme="minorHAnsi"/>
          <w:smallCaps/>
          <w:sz w:val="20"/>
          <w:szCs w:val="20"/>
          <w:lang w:val="en-AU"/>
        </w:rPr>
        <w:t xml:space="preserve">Abstract: </w:t>
      </w:r>
      <w:r w:rsidRPr="0080490E">
        <w:rPr>
          <w:rFonts w:asciiTheme="minorHAnsi" w:hAnsiTheme="minorHAnsi" w:cstheme="minorHAnsi"/>
          <w:i/>
          <w:sz w:val="20"/>
          <w:szCs w:val="20"/>
          <w:lang w:val="en-AU"/>
        </w:rPr>
        <w:t xml:space="preserve">Tokenized investment is a recent phenomenon that aims to improve traditional investment methods. Therefore, tokenization adapts technology to traditional investment sectors rather than creating entirely new business opportunities. One of the challenges of tokenized investment is to define its legal framework and clarify the relevance of using tokens. In particular, this paper describes a direct tokenized real estate investment model and </w:t>
      </w:r>
      <w:r w:rsidR="003F2213" w:rsidRPr="0080490E">
        <w:rPr>
          <w:rFonts w:asciiTheme="minorHAnsi" w:hAnsiTheme="minorHAnsi" w:cstheme="minorHAnsi"/>
          <w:i/>
          <w:sz w:val="20"/>
          <w:szCs w:val="20"/>
          <w:lang w:val="en-AU"/>
        </w:rPr>
        <w:t>examines</w:t>
      </w:r>
      <w:r w:rsidRPr="0080490E">
        <w:rPr>
          <w:rFonts w:asciiTheme="minorHAnsi" w:hAnsiTheme="minorHAnsi" w:cstheme="minorHAnsi"/>
          <w:i/>
          <w:sz w:val="20"/>
          <w:szCs w:val="20"/>
          <w:lang w:val="en-AU"/>
        </w:rPr>
        <w:t xml:space="preserve"> how it differs from crowdfunding and financial instruments or securities</w:t>
      </w:r>
      <w:r w:rsidR="003F2213" w:rsidRPr="0080490E">
        <w:rPr>
          <w:rFonts w:asciiTheme="minorHAnsi" w:hAnsiTheme="minorHAnsi" w:cstheme="minorHAnsi"/>
          <w:lang w:val="en-AU"/>
        </w:rPr>
        <w:t xml:space="preserve"> </w:t>
      </w:r>
      <w:r w:rsidR="003F2213" w:rsidRPr="0080490E">
        <w:rPr>
          <w:rFonts w:asciiTheme="minorHAnsi" w:hAnsiTheme="minorHAnsi" w:cstheme="minorHAnsi"/>
          <w:i/>
          <w:sz w:val="20"/>
          <w:szCs w:val="20"/>
          <w:lang w:val="en-AU"/>
        </w:rPr>
        <w:t xml:space="preserve">The paper argues that traditional agreements, such as </w:t>
      </w:r>
      <w:r w:rsidRPr="0080490E">
        <w:rPr>
          <w:rFonts w:asciiTheme="minorHAnsi" w:hAnsiTheme="minorHAnsi" w:cstheme="minorHAnsi"/>
          <w:i/>
          <w:sz w:val="20"/>
          <w:szCs w:val="20"/>
          <w:lang w:val="en-AU"/>
        </w:rPr>
        <w:t xml:space="preserve">participative loans or accounts in participation contracts, </w:t>
      </w:r>
      <w:r w:rsidR="003F2213" w:rsidRPr="0080490E">
        <w:rPr>
          <w:rFonts w:asciiTheme="minorHAnsi" w:hAnsiTheme="minorHAnsi" w:cstheme="minorHAnsi"/>
          <w:i/>
          <w:sz w:val="20"/>
          <w:szCs w:val="20"/>
          <w:lang w:val="en-AU"/>
        </w:rPr>
        <w:t xml:space="preserve">can serve as the legal basis for tokenization. </w:t>
      </w:r>
      <w:r w:rsidRPr="0080490E">
        <w:rPr>
          <w:rFonts w:asciiTheme="minorHAnsi" w:hAnsiTheme="minorHAnsi" w:cstheme="minorHAnsi"/>
          <w:i/>
          <w:sz w:val="20"/>
          <w:szCs w:val="20"/>
          <w:lang w:val="en-AU"/>
        </w:rPr>
        <w:t xml:space="preserve">Based on the principle of technological neutrality and party autonomy in designing the representative function of tokens, these contractual forms, along with regulations on general conditions and consumer protection, provide full legal coverage for </w:t>
      </w:r>
      <w:r w:rsidR="00D82BCA" w:rsidRPr="0080490E">
        <w:rPr>
          <w:rFonts w:asciiTheme="minorHAnsi" w:hAnsiTheme="minorHAnsi" w:cstheme="minorHAnsi"/>
          <w:i/>
          <w:sz w:val="20"/>
          <w:szCs w:val="20"/>
          <w:lang w:val="en-AU"/>
        </w:rPr>
        <w:t>such investments</w:t>
      </w:r>
      <w:r w:rsidRPr="0080490E">
        <w:rPr>
          <w:rFonts w:asciiTheme="minorHAnsi" w:hAnsiTheme="minorHAnsi" w:cstheme="minorHAnsi"/>
          <w:i/>
          <w:sz w:val="20"/>
          <w:szCs w:val="20"/>
          <w:lang w:val="en-AU"/>
        </w:rPr>
        <w:t xml:space="preserve">. This approach </w:t>
      </w:r>
      <w:r w:rsidR="00D82BCA" w:rsidRPr="0080490E">
        <w:rPr>
          <w:rFonts w:asciiTheme="minorHAnsi" w:hAnsiTheme="minorHAnsi" w:cstheme="minorHAnsi"/>
          <w:i/>
          <w:sz w:val="20"/>
          <w:szCs w:val="20"/>
          <w:lang w:val="en-AU"/>
        </w:rPr>
        <w:t>minimises</w:t>
      </w:r>
      <w:r w:rsidR="00D82BCA" w:rsidRPr="0080490E">
        <w:rPr>
          <w:rFonts w:asciiTheme="minorHAnsi" w:hAnsiTheme="minorHAnsi" w:cstheme="minorHAnsi"/>
          <w:color w:val="FF0000"/>
          <w:sz w:val="20"/>
          <w:szCs w:val="20"/>
          <w:lang w:val="en-AU"/>
        </w:rPr>
        <w:t xml:space="preserve"> </w:t>
      </w:r>
      <w:r w:rsidRPr="0080490E">
        <w:rPr>
          <w:rFonts w:asciiTheme="minorHAnsi" w:hAnsiTheme="minorHAnsi" w:cstheme="minorHAnsi"/>
          <w:i/>
          <w:sz w:val="20"/>
          <w:szCs w:val="20"/>
          <w:lang w:val="en-AU"/>
        </w:rPr>
        <w:t xml:space="preserve">the need to apply the Securities Market Act and requires only limited compliance </w:t>
      </w:r>
      <w:r w:rsidR="00D82BCA" w:rsidRPr="0080490E">
        <w:rPr>
          <w:rFonts w:asciiTheme="minorHAnsi" w:hAnsiTheme="minorHAnsi" w:cstheme="minorHAnsi"/>
          <w:i/>
          <w:sz w:val="20"/>
          <w:szCs w:val="20"/>
          <w:lang w:val="en-AU"/>
        </w:rPr>
        <w:t xml:space="preserve">with </w:t>
      </w:r>
      <w:r w:rsidRPr="0080490E">
        <w:rPr>
          <w:rFonts w:asciiTheme="minorHAnsi" w:hAnsiTheme="minorHAnsi" w:cstheme="minorHAnsi"/>
          <w:i/>
          <w:sz w:val="20"/>
          <w:szCs w:val="20"/>
          <w:lang w:val="en-AU"/>
        </w:rPr>
        <w:t>the Regulation on Markets in Crypto-Assets (MiCA).</w:t>
      </w:r>
    </w:p>
    <w:p w14:paraId="4E37E1C8" w14:textId="77777777" w:rsidR="00AC40F1" w:rsidRPr="0080490E" w:rsidRDefault="00AC40F1" w:rsidP="0080490E">
      <w:pPr>
        <w:spacing w:after="0" w:line="276" w:lineRule="auto"/>
        <w:ind w:firstLine="0"/>
        <w:rPr>
          <w:rFonts w:asciiTheme="minorHAnsi" w:hAnsiTheme="minorHAnsi" w:cstheme="minorHAnsi"/>
          <w:i/>
          <w:sz w:val="20"/>
          <w:szCs w:val="20"/>
          <w:lang w:val="en-AU"/>
        </w:rPr>
      </w:pPr>
    </w:p>
    <w:p w14:paraId="7063D078" w14:textId="47CFD702" w:rsidR="00D80B49" w:rsidRPr="0080490E" w:rsidRDefault="00D80B49" w:rsidP="0080490E">
      <w:pPr>
        <w:spacing w:after="0" w:line="276" w:lineRule="auto"/>
        <w:ind w:firstLine="0"/>
        <w:rPr>
          <w:rFonts w:asciiTheme="minorHAnsi" w:hAnsiTheme="minorHAnsi" w:cstheme="minorHAnsi"/>
          <w:sz w:val="20"/>
          <w:szCs w:val="20"/>
        </w:rPr>
      </w:pPr>
      <w:r w:rsidRPr="0080490E">
        <w:rPr>
          <w:rFonts w:asciiTheme="minorHAnsi" w:hAnsiTheme="minorHAnsi" w:cstheme="minorHAnsi"/>
          <w:smallCaps/>
          <w:sz w:val="20"/>
          <w:szCs w:val="20"/>
        </w:rPr>
        <w:t>Palabras clave:</w:t>
      </w:r>
      <w:r w:rsidR="004E1A27" w:rsidRPr="0080490E">
        <w:rPr>
          <w:rFonts w:asciiTheme="minorHAnsi" w:hAnsiTheme="minorHAnsi" w:cstheme="minorHAnsi"/>
          <w:sz w:val="20"/>
          <w:szCs w:val="20"/>
        </w:rPr>
        <w:t xml:space="preserve"> Tokens, inversión inmobiliaria, préstamo participativo, valores negociables.</w:t>
      </w:r>
    </w:p>
    <w:p w14:paraId="4D2B7E66" w14:textId="5506DA63" w:rsidR="00D80B49" w:rsidRPr="0080490E" w:rsidRDefault="00D80B49" w:rsidP="0080490E">
      <w:pPr>
        <w:spacing w:after="0" w:line="276" w:lineRule="auto"/>
        <w:ind w:firstLine="0"/>
        <w:rPr>
          <w:rFonts w:asciiTheme="minorHAnsi" w:hAnsiTheme="minorHAnsi" w:cstheme="minorHAnsi"/>
          <w:sz w:val="20"/>
          <w:szCs w:val="20"/>
          <w:lang w:val="en-AU"/>
        </w:rPr>
      </w:pPr>
      <w:r w:rsidRPr="0080490E">
        <w:rPr>
          <w:rFonts w:asciiTheme="minorHAnsi" w:hAnsiTheme="minorHAnsi" w:cstheme="minorHAnsi"/>
          <w:smallCaps/>
          <w:sz w:val="20"/>
          <w:szCs w:val="20"/>
          <w:lang w:val="en-AU"/>
        </w:rPr>
        <w:t>Key words:</w:t>
      </w:r>
      <w:r w:rsidR="004E1A27" w:rsidRPr="0080490E">
        <w:rPr>
          <w:rFonts w:asciiTheme="minorHAnsi" w:hAnsiTheme="minorHAnsi" w:cstheme="minorHAnsi"/>
          <w:smallCaps/>
          <w:sz w:val="20"/>
          <w:szCs w:val="20"/>
          <w:lang w:val="en-AU"/>
        </w:rPr>
        <w:t xml:space="preserve"> </w:t>
      </w:r>
      <w:r w:rsidR="004E1A27" w:rsidRPr="0080490E">
        <w:rPr>
          <w:rFonts w:asciiTheme="minorHAnsi" w:hAnsiTheme="minorHAnsi" w:cstheme="minorHAnsi"/>
          <w:i/>
          <w:sz w:val="20"/>
          <w:szCs w:val="20"/>
          <w:lang w:val="en-AU"/>
        </w:rPr>
        <w:t>Tokens, real estate investment, profit participativ</w:t>
      </w:r>
      <w:r w:rsidR="0085461D" w:rsidRPr="0080490E">
        <w:rPr>
          <w:rFonts w:asciiTheme="minorHAnsi" w:hAnsiTheme="minorHAnsi" w:cstheme="minorHAnsi"/>
          <w:i/>
          <w:sz w:val="20"/>
          <w:szCs w:val="20"/>
          <w:lang w:val="en-AU"/>
        </w:rPr>
        <w:t>e loan, securities.</w:t>
      </w:r>
    </w:p>
    <w:p w14:paraId="33830043" w14:textId="4042CEA3" w:rsidR="000B7472" w:rsidRPr="0080490E" w:rsidRDefault="000B7472" w:rsidP="0080490E">
      <w:pPr>
        <w:spacing w:after="0" w:line="276" w:lineRule="auto"/>
        <w:ind w:firstLine="0"/>
        <w:rPr>
          <w:rFonts w:asciiTheme="minorHAnsi" w:hAnsiTheme="minorHAnsi" w:cstheme="minorHAnsi"/>
          <w:smallCaps/>
          <w:sz w:val="20"/>
          <w:szCs w:val="20"/>
          <w:lang w:val="en-AU"/>
        </w:rPr>
      </w:pPr>
    </w:p>
    <w:p w14:paraId="7797E2C7" w14:textId="386C33A6" w:rsidR="00AC40F1" w:rsidRPr="0080490E" w:rsidRDefault="00AC40F1" w:rsidP="0080490E">
      <w:pPr>
        <w:spacing w:after="0" w:line="276" w:lineRule="auto"/>
        <w:ind w:firstLine="0"/>
        <w:rPr>
          <w:rFonts w:asciiTheme="minorHAnsi" w:hAnsiTheme="minorHAnsi" w:cstheme="minorHAnsi"/>
          <w:smallCaps/>
          <w:sz w:val="20"/>
          <w:szCs w:val="20"/>
        </w:rPr>
      </w:pPr>
      <w:r w:rsidRPr="0080490E">
        <w:rPr>
          <w:rFonts w:asciiTheme="minorHAnsi" w:hAnsiTheme="minorHAnsi" w:cstheme="minorHAnsi"/>
          <w:smallCaps/>
          <w:sz w:val="20"/>
          <w:szCs w:val="20"/>
        </w:rPr>
        <w:t>Sumario</w:t>
      </w:r>
      <w:r w:rsidRPr="0080490E">
        <w:rPr>
          <w:rFonts w:asciiTheme="minorHAnsi" w:hAnsiTheme="minorHAnsi" w:cstheme="minorHAnsi"/>
          <w:sz w:val="20"/>
          <w:szCs w:val="20"/>
        </w:rPr>
        <w:t xml:space="preserve">: </w:t>
      </w:r>
      <w:r w:rsidR="007C4A4F" w:rsidRPr="0080490E">
        <w:rPr>
          <w:rFonts w:asciiTheme="minorHAnsi" w:hAnsiTheme="minorHAnsi" w:cstheme="minorHAnsi"/>
          <w:sz w:val="20"/>
          <w:szCs w:val="20"/>
        </w:rPr>
        <w:t xml:space="preserve">1. </w:t>
      </w:r>
      <w:r w:rsidR="007C4A4F" w:rsidRPr="0080490E">
        <w:rPr>
          <w:rFonts w:asciiTheme="minorHAnsi" w:hAnsiTheme="minorHAnsi" w:cstheme="minorHAnsi"/>
          <w:smallCaps/>
          <w:sz w:val="20"/>
          <w:szCs w:val="20"/>
        </w:rPr>
        <w:t>Introducción. 2. Una aproximación a la tokenización</w:t>
      </w:r>
      <w:r w:rsidR="007C4A4F" w:rsidRPr="0080490E">
        <w:rPr>
          <w:rFonts w:asciiTheme="minorHAnsi" w:hAnsiTheme="minorHAnsi" w:cstheme="minorHAnsi"/>
          <w:sz w:val="20"/>
          <w:szCs w:val="20"/>
        </w:rPr>
        <w:t>. 2</w:t>
      </w:r>
      <w:r w:rsidR="007C4A4F" w:rsidRPr="0080490E">
        <w:rPr>
          <w:rFonts w:asciiTheme="minorHAnsi" w:hAnsiTheme="minorHAnsi" w:cstheme="minorHAnsi"/>
          <w:i/>
          <w:iCs/>
          <w:smallCaps/>
          <w:sz w:val="20"/>
          <w:szCs w:val="20"/>
        </w:rPr>
        <w:t xml:space="preserve">.1. </w:t>
      </w:r>
      <w:r w:rsidR="007C4A4F" w:rsidRPr="0080490E">
        <w:rPr>
          <w:rFonts w:asciiTheme="minorHAnsi" w:hAnsiTheme="minorHAnsi" w:cstheme="minorHAnsi"/>
          <w:i/>
          <w:iCs/>
          <w:sz w:val="20"/>
          <w:szCs w:val="20"/>
        </w:rPr>
        <w:t xml:space="preserve">Del bitcoin al token representativo. </w:t>
      </w:r>
      <w:r w:rsidR="007C4A4F" w:rsidRPr="0080490E">
        <w:rPr>
          <w:rFonts w:asciiTheme="minorHAnsi" w:hAnsiTheme="minorHAnsi" w:cstheme="minorHAnsi"/>
          <w:sz w:val="20"/>
          <w:szCs w:val="20"/>
        </w:rPr>
        <w:t>2.2.</w:t>
      </w:r>
      <w:r w:rsidR="007C4A4F" w:rsidRPr="0080490E">
        <w:rPr>
          <w:rFonts w:asciiTheme="minorHAnsi" w:hAnsiTheme="minorHAnsi" w:cstheme="minorHAnsi"/>
          <w:i/>
          <w:iCs/>
          <w:sz w:val="20"/>
          <w:szCs w:val="20"/>
        </w:rPr>
        <w:t xml:space="preserve"> La tokenización como cauce de financiación alternativo.</w:t>
      </w:r>
      <w:r w:rsidR="007C4A4F" w:rsidRPr="0080490E">
        <w:rPr>
          <w:rFonts w:asciiTheme="minorHAnsi" w:hAnsiTheme="minorHAnsi" w:cstheme="minorHAnsi"/>
          <w:sz w:val="20"/>
          <w:szCs w:val="20"/>
        </w:rPr>
        <w:t xml:space="preserve"> 3. </w:t>
      </w:r>
      <w:r w:rsidR="007C4A4F" w:rsidRPr="0080490E">
        <w:rPr>
          <w:rFonts w:asciiTheme="minorHAnsi" w:hAnsiTheme="minorHAnsi" w:cstheme="minorHAnsi"/>
          <w:smallCaps/>
          <w:sz w:val="20"/>
          <w:szCs w:val="20"/>
        </w:rPr>
        <w:t xml:space="preserve">Exposición de un modelo de negocio. 4. Distinción entre </w:t>
      </w:r>
      <w:r w:rsidR="007C4A4F" w:rsidRPr="0080490E">
        <w:rPr>
          <w:rFonts w:asciiTheme="minorHAnsi" w:hAnsiTheme="minorHAnsi" w:cstheme="minorHAnsi"/>
          <w:i/>
          <w:smallCaps/>
          <w:sz w:val="20"/>
          <w:szCs w:val="20"/>
        </w:rPr>
        <w:t>crowdfunding</w:t>
      </w:r>
      <w:r w:rsidR="007C4A4F" w:rsidRPr="0080490E">
        <w:rPr>
          <w:rFonts w:asciiTheme="minorHAnsi" w:hAnsiTheme="minorHAnsi" w:cstheme="minorHAnsi"/>
          <w:smallCaps/>
          <w:sz w:val="20"/>
          <w:szCs w:val="20"/>
        </w:rPr>
        <w:t xml:space="preserve"> inmobiliario e inversión participativa, directa y tokenizada</w:t>
      </w:r>
      <w:r w:rsidR="007C4A4F" w:rsidRPr="0080490E">
        <w:rPr>
          <w:rFonts w:asciiTheme="minorHAnsi" w:hAnsiTheme="minorHAnsi" w:cstheme="minorHAnsi"/>
          <w:sz w:val="20"/>
          <w:szCs w:val="20"/>
        </w:rPr>
        <w:t xml:space="preserve">. 5. </w:t>
      </w:r>
      <w:r w:rsidR="007C4A4F" w:rsidRPr="0080490E">
        <w:rPr>
          <w:rFonts w:asciiTheme="minorHAnsi" w:hAnsiTheme="minorHAnsi" w:cstheme="minorHAnsi"/>
          <w:smallCaps/>
          <w:sz w:val="20"/>
          <w:szCs w:val="20"/>
        </w:rPr>
        <w:t>Superposición de la tokenización respecto de contratos de inversión.</w:t>
      </w:r>
      <w:r w:rsidR="007C4A4F" w:rsidRPr="0080490E">
        <w:rPr>
          <w:rFonts w:asciiTheme="minorHAnsi" w:hAnsiTheme="minorHAnsi" w:cstheme="minorHAnsi"/>
          <w:sz w:val="20"/>
          <w:szCs w:val="20"/>
        </w:rPr>
        <w:t xml:space="preserve"> 5.1. </w:t>
      </w:r>
      <w:r w:rsidR="007C4A4F" w:rsidRPr="0080490E">
        <w:rPr>
          <w:rFonts w:asciiTheme="minorHAnsi" w:hAnsiTheme="minorHAnsi" w:cstheme="minorHAnsi"/>
          <w:i/>
          <w:iCs/>
          <w:sz w:val="20"/>
          <w:szCs w:val="20"/>
        </w:rPr>
        <w:t>Contratos de inversión en formato electrónico</w:t>
      </w:r>
      <w:r w:rsidR="007C4A4F" w:rsidRPr="0080490E">
        <w:rPr>
          <w:rFonts w:asciiTheme="minorHAnsi" w:hAnsiTheme="minorHAnsi" w:cstheme="minorHAnsi"/>
          <w:i/>
          <w:iCs/>
          <w:smallCaps/>
          <w:sz w:val="20"/>
          <w:szCs w:val="20"/>
        </w:rPr>
        <w:t>.</w:t>
      </w:r>
      <w:r w:rsidR="007C4A4F" w:rsidRPr="0080490E">
        <w:rPr>
          <w:rFonts w:asciiTheme="minorHAnsi" w:hAnsiTheme="minorHAnsi" w:cstheme="minorHAnsi"/>
          <w:sz w:val="20"/>
          <w:szCs w:val="20"/>
        </w:rPr>
        <w:t xml:space="preserve"> 5.2. </w:t>
      </w:r>
      <w:r w:rsidR="007C4A4F" w:rsidRPr="0080490E">
        <w:rPr>
          <w:rFonts w:asciiTheme="minorHAnsi" w:hAnsiTheme="minorHAnsi" w:cstheme="minorHAnsi"/>
          <w:i/>
          <w:iCs/>
          <w:sz w:val="20"/>
          <w:szCs w:val="20"/>
        </w:rPr>
        <w:t xml:space="preserve">El contrato de cuenta en participación. </w:t>
      </w:r>
      <w:r w:rsidR="007C4A4F" w:rsidRPr="0080490E">
        <w:rPr>
          <w:rFonts w:asciiTheme="minorHAnsi" w:hAnsiTheme="minorHAnsi" w:cstheme="minorHAnsi"/>
          <w:sz w:val="20"/>
          <w:szCs w:val="20"/>
        </w:rPr>
        <w:t>5.3.</w:t>
      </w:r>
      <w:r w:rsidR="007C4A4F" w:rsidRPr="0080490E">
        <w:rPr>
          <w:rFonts w:asciiTheme="minorHAnsi" w:hAnsiTheme="minorHAnsi" w:cstheme="minorHAnsi"/>
          <w:i/>
          <w:iCs/>
          <w:sz w:val="20"/>
          <w:szCs w:val="20"/>
        </w:rPr>
        <w:t xml:space="preserve"> El contrato de préstamo participativo.</w:t>
      </w:r>
      <w:r w:rsidR="007C4A4F" w:rsidRPr="0080490E">
        <w:rPr>
          <w:rFonts w:asciiTheme="minorHAnsi" w:hAnsiTheme="minorHAnsi" w:cstheme="minorHAnsi"/>
          <w:sz w:val="20"/>
          <w:szCs w:val="20"/>
        </w:rPr>
        <w:t xml:space="preserve"> 6. </w:t>
      </w:r>
      <w:r w:rsidR="007C4A4F" w:rsidRPr="0080490E">
        <w:rPr>
          <w:rFonts w:asciiTheme="minorHAnsi" w:hAnsiTheme="minorHAnsi" w:cstheme="minorHAnsi"/>
          <w:smallCaps/>
          <w:sz w:val="20"/>
          <w:szCs w:val="20"/>
        </w:rPr>
        <w:t>Regulación de la inversión tokenizada directa.</w:t>
      </w:r>
      <w:r w:rsidR="007C4A4F" w:rsidRPr="0080490E">
        <w:rPr>
          <w:rFonts w:asciiTheme="minorHAnsi" w:hAnsiTheme="minorHAnsi" w:cstheme="minorHAnsi"/>
          <w:sz w:val="20"/>
          <w:szCs w:val="20"/>
        </w:rPr>
        <w:t xml:space="preserve"> 6.1. </w:t>
      </w:r>
      <w:r w:rsidR="007C4A4F" w:rsidRPr="0080490E">
        <w:rPr>
          <w:rFonts w:asciiTheme="minorHAnsi" w:hAnsiTheme="minorHAnsi" w:cstheme="minorHAnsi"/>
          <w:i/>
          <w:iCs/>
          <w:sz w:val="20"/>
          <w:szCs w:val="20"/>
        </w:rPr>
        <w:t>El vacío normativo (parcial) de la financiación directa tokenizada.</w:t>
      </w:r>
      <w:r w:rsidR="007C4A4F" w:rsidRPr="0080490E">
        <w:rPr>
          <w:rFonts w:asciiTheme="minorHAnsi" w:hAnsiTheme="minorHAnsi" w:cstheme="minorHAnsi"/>
          <w:sz w:val="20"/>
          <w:szCs w:val="20"/>
        </w:rPr>
        <w:t xml:space="preserve"> 6.2. </w:t>
      </w:r>
      <w:r w:rsidR="007C4A4F" w:rsidRPr="0080490E">
        <w:rPr>
          <w:rFonts w:asciiTheme="minorHAnsi" w:hAnsiTheme="minorHAnsi" w:cstheme="minorHAnsi"/>
          <w:i/>
          <w:iCs/>
          <w:sz w:val="20"/>
          <w:szCs w:val="20"/>
        </w:rPr>
        <w:t xml:space="preserve">¿Son los </w:t>
      </w:r>
      <w:proofErr w:type="spellStart"/>
      <w:r w:rsidR="007C4A4F" w:rsidRPr="0080490E">
        <w:rPr>
          <w:rFonts w:asciiTheme="minorHAnsi" w:hAnsiTheme="minorHAnsi" w:cstheme="minorHAnsi"/>
          <w:i/>
          <w:iCs/>
          <w:sz w:val="20"/>
          <w:szCs w:val="20"/>
        </w:rPr>
        <w:t>security</w:t>
      </w:r>
      <w:proofErr w:type="spellEnd"/>
      <w:r w:rsidR="007C4A4F" w:rsidRPr="0080490E">
        <w:rPr>
          <w:rFonts w:asciiTheme="minorHAnsi" w:hAnsiTheme="minorHAnsi" w:cstheme="minorHAnsi"/>
          <w:i/>
          <w:iCs/>
          <w:sz w:val="20"/>
          <w:szCs w:val="20"/>
        </w:rPr>
        <w:t xml:space="preserve"> tokens valores negociables?</w:t>
      </w:r>
      <w:r w:rsidR="007C4A4F" w:rsidRPr="0080490E">
        <w:rPr>
          <w:rFonts w:asciiTheme="minorHAnsi" w:hAnsiTheme="minorHAnsi" w:cstheme="minorHAnsi"/>
          <w:sz w:val="20"/>
          <w:szCs w:val="20"/>
        </w:rPr>
        <w:t xml:space="preserve"> 6.3 </w:t>
      </w:r>
      <w:r w:rsidR="007C4A4F" w:rsidRPr="0080490E">
        <w:rPr>
          <w:rFonts w:asciiTheme="minorHAnsi" w:hAnsiTheme="minorHAnsi" w:cstheme="minorHAnsi"/>
          <w:i/>
          <w:iCs/>
          <w:sz w:val="20"/>
          <w:szCs w:val="20"/>
        </w:rPr>
        <w:t xml:space="preserve">Libertad en la configuración de la realidad jurídica representada </w:t>
      </w:r>
      <w:r w:rsidR="007C4A4F" w:rsidRPr="0080490E">
        <w:rPr>
          <w:rFonts w:asciiTheme="minorHAnsi" w:hAnsiTheme="minorHAnsi" w:cstheme="minorHAnsi"/>
          <w:i/>
          <w:iCs/>
          <w:sz w:val="20"/>
          <w:szCs w:val="20"/>
        </w:rPr>
        <w:lastRenderedPageBreak/>
        <w:t>por el token.</w:t>
      </w:r>
      <w:r w:rsidR="007C4A4F" w:rsidRPr="0080490E">
        <w:rPr>
          <w:rFonts w:asciiTheme="minorHAnsi" w:hAnsiTheme="minorHAnsi" w:cstheme="minorHAnsi"/>
          <w:sz w:val="20"/>
          <w:szCs w:val="20"/>
        </w:rPr>
        <w:t xml:space="preserve"> 6.4 </w:t>
      </w:r>
      <w:r w:rsidR="007C4A4F" w:rsidRPr="0080490E">
        <w:rPr>
          <w:rFonts w:asciiTheme="minorHAnsi" w:hAnsiTheme="minorHAnsi" w:cstheme="minorHAnsi"/>
          <w:i/>
          <w:iCs/>
          <w:sz w:val="20"/>
          <w:szCs w:val="20"/>
        </w:rPr>
        <w:t>Inversión tokenizada en la Ley de los Mercados de Valores y de los Servicios de Inversión.</w:t>
      </w:r>
      <w:r w:rsidR="007C4A4F" w:rsidRPr="0080490E">
        <w:rPr>
          <w:rFonts w:asciiTheme="minorHAnsi" w:hAnsiTheme="minorHAnsi" w:cstheme="minorHAnsi"/>
          <w:sz w:val="20"/>
          <w:szCs w:val="20"/>
        </w:rPr>
        <w:t xml:space="preserve"> </w:t>
      </w:r>
      <w:r w:rsidR="007C4A4F" w:rsidRPr="0080490E">
        <w:rPr>
          <w:rFonts w:asciiTheme="minorHAnsi" w:hAnsiTheme="minorHAnsi" w:cstheme="minorHAnsi"/>
          <w:smallCaps/>
          <w:sz w:val="20"/>
          <w:szCs w:val="20"/>
        </w:rPr>
        <w:t>7. Conclusión. Bibliografía</w:t>
      </w:r>
    </w:p>
    <w:p w14:paraId="4D57161B" w14:textId="77777777" w:rsidR="00AC40F1" w:rsidRPr="0080490E" w:rsidRDefault="00AC40F1" w:rsidP="0080490E">
      <w:pPr>
        <w:spacing w:after="0" w:line="276" w:lineRule="auto"/>
        <w:ind w:firstLine="0"/>
        <w:rPr>
          <w:rFonts w:asciiTheme="minorHAnsi" w:hAnsiTheme="minorHAnsi" w:cstheme="minorHAnsi"/>
          <w:sz w:val="20"/>
          <w:szCs w:val="20"/>
        </w:rPr>
      </w:pPr>
    </w:p>
    <w:p w14:paraId="68DF1B98" w14:textId="149B504C" w:rsidR="00F34C3F" w:rsidRPr="0080490E" w:rsidRDefault="00F34C3F" w:rsidP="0080490E">
      <w:pPr>
        <w:pStyle w:val="Ttulo1"/>
        <w:spacing w:after="0" w:line="276" w:lineRule="auto"/>
        <w:ind w:firstLine="0"/>
        <w:rPr>
          <w:rFonts w:asciiTheme="minorHAnsi" w:hAnsiTheme="minorHAnsi" w:cstheme="minorHAnsi"/>
        </w:rPr>
      </w:pPr>
      <w:r w:rsidRPr="0080490E">
        <w:rPr>
          <w:rFonts w:asciiTheme="minorHAnsi" w:hAnsiTheme="minorHAnsi" w:cstheme="minorHAnsi"/>
        </w:rPr>
        <w:t>1</w:t>
      </w:r>
      <w:r w:rsidR="00562007" w:rsidRPr="0080490E">
        <w:rPr>
          <w:rFonts w:asciiTheme="minorHAnsi" w:hAnsiTheme="minorHAnsi" w:cstheme="minorHAnsi"/>
        </w:rPr>
        <w:t xml:space="preserve">. </w:t>
      </w:r>
      <w:r w:rsidR="00B80409" w:rsidRPr="0080490E">
        <w:rPr>
          <w:rFonts w:asciiTheme="minorHAnsi" w:hAnsiTheme="minorHAnsi" w:cstheme="minorHAnsi"/>
        </w:rPr>
        <w:t>Introducción</w:t>
      </w:r>
    </w:p>
    <w:p w14:paraId="67F25F77" w14:textId="7ED9B890" w:rsidR="00937945" w:rsidRPr="0080490E" w:rsidRDefault="00824CEE"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Una</w:t>
      </w:r>
      <w:r w:rsidR="00937945" w:rsidRPr="0080490E">
        <w:rPr>
          <w:rFonts w:asciiTheme="minorHAnsi" w:hAnsiTheme="minorHAnsi" w:cstheme="minorHAnsi"/>
          <w:szCs w:val="24"/>
        </w:rPr>
        <w:t xml:space="preserve"> inversión tradicionalmente considerada como segura y fiable </w:t>
      </w:r>
      <w:r w:rsidRPr="0080490E">
        <w:rPr>
          <w:rFonts w:asciiTheme="minorHAnsi" w:hAnsiTheme="minorHAnsi" w:cstheme="minorHAnsi"/>
          <w:szCs w:val="24"/>
        </w:rPr>
        <w:t xml:space="preserve">es la </w:t>
      </w:r>
      <w:r w:rsidR="00937945" w:rsidRPr="0080490E">
        <w:rPr>
          <w:rFonts w:asciiTheme="minorHAnsi" w:hAnsiTheme="minorHAnsi" w:cstheme="minorHAnsi"/>
          <w:szCs w:val="24"/>
        </w:rPr>
        <w:t xml:space="preserve">adquisición </w:t>
      </w:r>
      <w:r w:rsidRPr="0080490E">
        <w:rPr>
          <w:rFonts w:asciiTheme="minorHAnsi" w:hAnsiTheme="minorHAnsi" w:cstheme="minorHAnsi"/>
          <w:szCs w:val="24"/>
        </w:rPr>
        <w:t xml:space="preserve">de inmuebles </w:t>
      </w:r>
      <w:r w:rsidR="00937945" w:rsidRPr="0080490E">
        <w:rPr>
          <w:rFonts w:asciiTheme="minorHAnsi" w:hAnsiTheme="minorHAnsi" w:cstheme="minorHAnsi"/>
          <w:szCs w:val="24"/>
        </w:rPr>
        <w:t xml:space="preserve">con el propósito de obtener beneficios a través de su </w:t>
      </w:r>
      <w:r w:rsidR="00210BB3" w:rsidRPr="0080490E">
        <w:rPr>
          <w:rFonts w:asciiTheme="minorHAnsi" w:hAnsiTheme="minorHAnsi" w:cstheme="minorHAnsi"/>
          <w:szCs w:val="24"/>
        </w:rPr>
        <w:t>edificación</w:t>
      </w:r>
      <w:r w:rsidR="00937945" w:rsidRPr="0080490E">
        <w:rPr>
          <w:rFonts w:asciiTheme="minorHAnsi" w:hAnsiTheme="minorHAnsi" w:cstheme="minorHAnsi"/>
          <w:szCs w:val="24"/>
        </w:rPr>
        <w:t xml:space="preserve"> o explotación </w:t>
      </w:r>
      <w:r w:rsidR="000A4ACF" w:rsidRPr="0080490E">
        <w:rPr>
          <w:rFonts w:asciiTheme="minorHAnsi" w:hAnsiTheme="minorHAnsi" w:cstheme="minorHAnsi"/>
          <w:szCs w:val="24"/>
        </w:rPr>
        <w:t>por medio</w:t>
      </w:r>
      <w:r w:rsidR="00937945" w:rsidRPr="0080490E">
        <w:rPr>
          <w:rFonts w:asciiTheme="minorHAnsi" w:hAnsiTheme="minorHAnsi" w:cstheme="minorHAnsi"/>
          <w:szCs w:val="24"/>
        </w:rPr>
        <w:t xml:space="preserve"> de su alquiler </w:t>
      </w:r>
      <w:r w:rsidR="000A4ACF" w:rsidRPr="0080490E">
        <w:rPr>
          <w:rFonts w:asciiTheme="minorHAnsi" w:hAnsiTheme="minorHAnsi" w:cstheme="minorHAnsi"/>
          <w:szCs w:val="24"/>
        </w:rPr>
        <w:t>y su</w:t>
      </w:r>
      <w:r w:rsidR="00937945" w:rsidRPr="0080490E">
        <w:rPr>
          <w:rFonts w:asciiTheme="minorHAnsi" w:hAnsiTheme="minorHAnsi" w:cstheme="minorHAnsi"/>
          <w:szCs w:val="24"/>
        </w:rPr>
        <w:t xml:space="preserve"> venta. </w:t>
      </w:r>
      <w:r w:rsidR="000C24C0" w:rsidRPr="0080490E">
        <w:rPr>
          <w:rFonts w:asciiTheme="minorHAnsi" w:hAnsiTheme="minorHAnsi" w:cstheme="minorHAnsi"/>
          <w:szCs w:val="24"/>
        </w:rPr>
        <w:t>Aunque</w:t>
      </w:r>
      <w:r w:rsidR="00937945" w:rsidRPr="0080490E">
        <w:rPr>
          <w:rFonts w:asciiTheme="minorHAnsi" w:hAnsiTheme="minorHAnsi" w:cstheme="minorHAnsi"/>
          <w:szCs w:val="24"/>
        </w:rPr>
        <w:t xml:space="preserve"> la inversión inmobiliaria </w:t>
      </w:r>
      <w:r w:rsidR="000E1A01" w:rsidRPr="0080490E">
        <w:rPr>
          <w:rFonts w:asciiTheme="minorHAnsi" w:hAnsiTheme="minorHAnsi" w:cstheme="minorHAnsi"/>
          <w:szCs w:val="24"/>
        </w:rPr>
        <w:t xml:space="preserve">suele asociarse </w:t>
      </w:r>
      <w:r w:rsidR="00937945" w:rsidRPr="0080490E">
        <w:rPr>
          <w:rFonts w:asciiTheme="minorHAnsi" w:hAnsiTheme="minorHAnsi" w:cstheme="minorHAnsi"/>
          <w:szCs w:val="24"/>
        </w:rPr>
        <w:t xml:space="preserve">con inversores institucionales </w:t>
      </w:r>
      <w:r w:rsidR="00E1601C" w:rsidRPr="0080490E">
        <w:rPr>
          <w:rFonts w:asciiTheme="minorHAnsi" w:hAnsiTheme="minorHAnsi" w:cstheme="minorHAnsi"/>
          <w:szCs w:val="24"/>
        </w:rPr>
        <w:t>—</w:t>
      </w:r>
      <w:r w:rsidR="000C24C0" w:rsidRPr="0080490E">
        <w:rPr>
          <w:rFonts w:asciiTheme="minorHAnsi" w:hAnsiTheme="minorHAnsi" w:cstheme="minorHAnsi"/>
          <w:szCs w:val="24"/>
        </w:rPr>
        <w:t xml:space="preserve">debido a su mayor volumen de capital y recursos para la gestión eficiente de </w:t>
      </w:r>
      <w:r w:rsidR="00210BB3" w:rsidRPr="0080490E">
        <w:rPr>
          <w:rFonts w:asciiTheme="minorHAnsi" w:hAnsiTheme="minorHAnsi" w:cstheme="minorHAnsi"/>
          <w:szCs w:val="24"/>
        </w:rPr>
        <w:t xml:space="preserve">las </w:t>
      </w:r>
      <w:r w:rsidR="000C24C0" w:rsidRPr="0080490E">
        <w:rPr>
          <w:rFonts w:asciiTheme="minorHAnsi" w:hAnsiTheme="minorHAnsi" w:cstheme="minorHAnsi"/>
          <w:szCs w:val="24"/>
        </w:rPr>
        <w:t>propiedades</w:t>
      </w:r>
      <w:r w:rsidR="00E1601C" w:rsidRPr="0080490E">
        <w:rPr>
          <w:rFonts w:asciiTheme="minorHAnsi" w:hAnsiTheme="minorHAnsi" w:cstheme="minorHAnsi"/>
          <w:szCs w:val="24"/>
        </w:rPr>
        <w:t>—</w:t>
      </w:r>
      <w:r w:rsidR="00BE01DE" w:rsidRPr="0080490E">
        <w:rPr>
          <w:rFonts w:asciiTheme="minorHAnsi" w:hAnsiTheme="minorHAnsi" w:cstheme="minorHAnsi"/>
          <w:szCs w:val="24"/>
          <w:lang w:eastAsia="es-ES_tradnl"/>
        </w:rPr>
        <w:t xml:space="preserve"> </w:t>
      </w:r>
      <w:r w:rsidR="008C248B" w:rsidRPr="0080490E">
        <w:rPr>
          <w:rFonts w:asciiTheme="minorHAnsi" w:hAnsiTheme="minorHAnsi" w:cstheme="minorHAnsi"/>
          <w:szCs w:val="24"/>
          <w:lang w:eastAsia="es-ES_tradnl"/>
        </w:rPr>
        <w:t xml:space="preserve">también </w:t>
      </w:r>
      <w:r w:rsidR="000C24C0" w:rsidRPr="0080490E">
        <w:rPr>
          <w:rFonts w:asciiTheme="minorHAnsi" w:hAnsiTheme="minorHAnsi" w:cstheme="minorHAnsi"/>
          <w:szCs w:val="24"/>
          <w:lang w:eastAsia="es-ES_tradnl"/>
        </w:rPr>
        <w:t xml:space="preserve">puede </w:t>
      </w:r>
      <w:r w:rsidR="00BE01DE" w:rsidRPr="0080490E">
        <w:rPr>
          <w:rFonts w:asciiTheme="minorHAnsi" w:hAnsiTheme="minorHAnsi" w:cstheme="minorHAnsi"/>
          <w:szCs w:val="24"/>
          <w:lang w:eastAsia="es-ES_tradnl"/>
        </w:rPr>
        <w:t xml:space="preserve">llevarse a cabo de modo personal. </w:t>
      </w:r>
      <w:r w:rsidR="00FA18C5" w:rsidRPr="0080490E">
        <w:rPr>
          <w:rFonts w:asciiTheme="minorHAnsi" w:hAnsiTheme="minorHAnsi" w:cstheme="minorHAnsi"/>
          <w:szCs w:val="24"/>
          <w:lang w:eastAsia="es-ES_tradnl"/>
        </w:rPr>
        <w:t>Sin embargo</w:t>
      </w:r>
      <w:r w:rsidR="004C56F9" w:rsidRPr="0080490E">
        <w:rPr>
          <w:rFonts w:asciiTheme="minorHAnsi" w:hAnsiTheme="minorHAnsi" w:cstheme="minorHAnsi"/>
          <w:szCs w:val="24"/>
          <w:lang w:eastAsia="es-ES_tradnl"/>
        </w:rPr>
        <w:t>,</w:t>
      </w:r>
      <w:r w:rsidR="00BE01DE" w:rsidRPr="0080490E">
        <w:rPr>
          <w:rFonts w:asciiTheme="minorHAnsi" w:hAnsiTheme="minorHAnsi" w:cstheme="minorHAnsi"/>
          <w:szCs w:val="24"/>
          <w:lang w:eastAsia="es-ES_tradnl"/>
        </w:rPr>
        <w:t xml:space="preserve"> el coste de los inmuebles </w:t>
      </w:r>
      <w:r w:rsidR="008C248B" w:rsidRPr="0080490E">
        <w:rPr>
          <w:rFonts w:asciiTheme="minorHAnsi" w:hAnsiTheme="minorHAnsi" w:cstheme="minorHAnsi"/>
          <w:szCs w:val="24"/>
          <w:lang w:eastAsia="es-ES_tradnl"/>
        </w:rPr>
        <w:t>hace</w:t>
      </w:r>
      <w:r w:rsidR="00BE01DE" w:rsidRPr="0080490E">
        <w:rPr>
          <w:rFonts w:asciiTheme="minorHAnsi" w:hAnsiTheme="minorHAnsi" w:cstheme="minorHAnsi"/>
          <w:szCs w:val="24"/>
          <w:lang w:eastAsia="es-ES_tradnl"/>
        </w:rPr>
        <w:t xml:space="preserve"> que se</w:t>
      </w:r>
      <w:r w:rsidR="004C56F9" w:rsidRPr="0080490E">
        <w:rPr>
          <w:rFonts w:asciiTheme="minorHAnsi" w:hAnsiTheme="minorHAnsi" w:cstheme="minorHAnsi"/>
          <w:szCs w:val="24"/>
          <w:lang w:eastAsia="es-ES_tradnl"/>
        </w:rPr>
        <w:t>a</w:t>
      </w:r>
      <w:r w:rsidR="00BE01DE" w:rsidRPr="0080490E">
        <w:rPr>
          <w:rFonts w:asciiTheme="minorHAnsi" w:hAnsiTheme="minorHAnsi" w:cstheme="minorHAnsi"/>
          <w:szCs w:val="24"/>
          <w:lang w:eastAsia="es-ES_tradnl"/>
        </w:rPr>
        <w:t xml:space="preserve"> </w:t>
      </w:r>
      <w:r w:rsidR="008C248B" w:rsidRPr="0080490E">
        <w:rPr>
          <w:rFonts w:asciiTheme="minorHAnsi" w:hAnsiTheme="minorHAnsi" w:cstheme="minorHAnsi"/>
          <w:szCs w:val="24"/>
          <w:lang w:eastAsia="es-ES_tradnl"/>
        </w:rPr>
        <w:t>una inversión</w:t>
      </w:r>
      <w:r w:rsidR="00BE01DE" w:rsidRPr="0080490E">
        <w:rPr>
          <w:rFonts w:asciiTheme="minorHAnsi" w:hAnsiTheme="minorHAnsi" w:cstheme="minorHAnsi"/>
          <w:szCs w:val="24"/>
          <w:lang w:eastAsia="es-ES_tradnl"/>
        </w:rPr>
        <w:t xml:space="preserve"> </w:t>
      </w:r>
      <w:r w:rsidR="00D73D7A" w:rsidRPr="0080490E">
        <w:rPr>
          <w:rFonts w:asciiTheme="minorHAnsi" w:hAnsiTheme="minorHAnsi" w:cstheme="minorHAnsi"/>
          <w:szCs w:val="24"/>
          <w:lang w:eastAsia="es-ES_tradnl"/>
        </w:rPr>
        <w:t>restringida</w:t>
      </w:r>
      <w:r w:rsidR="00BE01DE" w:rsidRPr="0080490E">
        <w:rPr>
          <w:rFonts w:asciiTheme="minorHAnsi" w:hAnsiTheme="minorHAnsi" w:cstheme="minorHAnsi"/>
          <w:szCs w:val="24"/>
          <w:lang w:eastAsia="es-ES_tradnl"/>
        </w:rPr>
        <w:t xml:space="preserve"> a individuos con </w:t>
      </w:r>
      <w:r w:rsidR="004C56F9" w:rsidRPr="0080490E">
        <w:rPr>
          <w:rFonts w:asciiTheme="minorHAnsi" w:hAnsiTheme="minorHAnsi" w:cstheme="minorHAnsi"/>
          <w:szCs w:val="24"/>
          <w:lang w:eastAsia="es-ES_tradnl"/>
        </w:rPr>
        <w:t>gran</w:t>
      </w:r>
      <w:r w:rsidR="00BE01DE" w:rsidRPr="0080490E">
        <w:rPr>
          <w:rFonts w:asciiTheme="minorHAnsi" w:hAnsiTheme="minorHAnsi" w:cstheme="minorHAnsi"/>
          <w:szCs w:val="24"/>
          <w:lang w:eastAsia="es-ES_tradnl"/>
        </w:rPr>
        <w:t xml:space="preserve"> poder adquisitivo</w:t>
      </w:r>
      <w:r w:rsidR="008C248B" w:rsidRPr="0080490E">
        <w:rPr>
          <w:rFonts w:asciiTheme="minorHAnsi" w:hAnsiTheme="minorHAnsi" w:cstheme="minorHAnsi"/>
          <w:szCs w:val="24"/>
          <w:lang w:eastAsia="es-ES_tradnl"/>
        </w:rPr>
        <w:t xml:space="preserve"> y sometida a un mayor </w:t>
      </w:r>
      <w:r w:rsidR="00210BB3" w:rsidRPr="0080490E">
        <w:rPr>
          <w:rFonts w:asciiTheme="minorHAnsi" w:hAnsiTheme="minorHAnsi" w:cstheme="minorHAnsi"/>
          <w:szCs w:val="24"/>
          <w:lang w:eastAsia="es-ES_tradnl"/>
        </w:rPr>
        <w:t xml:space="preserve">nivel de </w:t>
      </w:r>
      <w:r w:rsidR="008C248B" w:rsidRPr="0080490E">
        <w:rPr>
          <w:rFonts w:asciiTheme="minorHAnsi" w:hAnsiTheme="minorHAnsi" w:cstheme="minorHAnsi"/>
          <w:szCs w:val="24"/>
          <w:lang w:eastAsia="es-ES_tradnl"/>
        </w:rPr>
        <w:t xml:space="preserve">riesgo por </w:t>
      </w:r>
      <w:r w:rsidR="00186465" w:rsidRPr="0080490E">
        <w:rPr>
          <w:rFonts w:asciiTheme="minorHAnsi" w:hAnsiTheme="minorHAnsi" w:cstheme="minorHAnsi"/>
          <w:szCs w:val="24"/>
          <w:lang w:eastAsia="es-ES_tradnl"/>
        </w:rPr>
        <w:t>di</w:t>
      </w:r>
      <w:r w:rsidR="004D17E5" w:rsidRPr="0080490E">
        <w:rPr>
          <w:rFonts w:asciiTheme="minorHAnsi" w:hAnsiTheme="minorHAnsi" w:cstheme="minorHAnsi"/>
          <w:szCs w:val="24"/>
          <w:lang w:eastAsia="es-ES_tradnl"/>
        </w:rPr>
        <w:t>fi</w:t>
      </w:r>
      <w:r w:rsidR="00186465" w:rsidRPr="0080490E">
        <w:rPr>
          <w:rFonts w:asciiTheme="minorHAnsi" w:hAnsiTheme="minorHAnsi" w:cstheme="minorHAnsi"/>
          <w:szCs w:val="24"/>
          <w:lang w:eastAsia="es-ES_tradnl"/>
        </w:rPr>
        <w:t>cultar</w:t>
      </w:r>
      <w:r w:rsidR="008C248B" w:rsidRPr="0080490E">
        <w:rPr>
          <w:rFonts w:asciiTheme="minorHAnsi" w:hAnsiTheme="minorHAnsi" w:cstheme="minorHAnsi"/>
          <w:szCs w:val="24"/>
          <w:lang w:eastAsia="es-ES_tradnl"/>
        </w:rPr>
        <w:t xml:space="preserve"> la </w:t>
      </w:r>
      <w:r w:rsidR="00501BB4" w:rsidRPr="0080490E">
        <w:rPr>
          <w:rFonts w:asciiTheme="minorHAnsi" w:hAnsiTheme="minorHAnsi" w:cstheme="minorHAnsi"/>
          <w:szCs w:val="24"/>
          <w:lang w:eastAsia="es-ES_tradnl"/>
        </w:rPr>
        <w:t xml:space="preserve">diversificación. Además, constituye una inversión de alta iliquidez, por el tiempo y </w:t>
      </w:r>
      <w:r w:rsidR="00FA18C5" w:rsidRPr="0080490E">
        <w:rPr>
          <w:rFonts w:asciiTheme="minorHAnsi" w:hAnsiTheme="minorHAnsi" w:cstheme="minorHAnsi"/>
          <w:szCs w:val="24"/>
          <w:lang w:eastAsia="es-ES_tradnl"/>
        </w:rPr>
        <w:t>medios</w:t>
      </w:r>
      <w:r w:rsidR="00501BB4" w:rsidRPr="0080490E">
        <w:rPr>
          <w:rFonts w:asciiTheme="minorHAnsi" w:hAnsiTheme="minorHAnsi" w:cstheme="minorHAnsi"/>
          <w:szCs w:val="24"/>
          <w:lang w:eastAsia="es-ES_tradnl"/>
        </w:rPr>
        <w:t xml:space="preserve"> necesarios para </w:t>
      </w:r>
      <w:r w:rsidR="0003327B" w:rsidRPr="0080490E">
        <w:rPr>
          <w:rFonts w:asciiTheme="minorHAnsi" w:hAnsiTheme="minorHAnsi" w:cstheme="minorHAnsi"/>
          <w:szCs w:val="24"/>
          <w:lang w:eastAsia="es-ES_tradnl"/>
        </w:rPr>
        <w:t xml:space="preserve">la </w:t>
      </w:r>
      <w:r w:rsidR="00501BB4" w:rsidRPr="0080490E">
        <w:rPr>
          <w:rFonts w:asciiTheme="minorHAnsi" w:hAnsiTheme="minorHAnsi" w:cstheme="minorHAnsi"/>
          <w:szCs w:val="24"/>
          <w:lang w:eastAsia="es-ES_tradnl"/>
        </w:rPr>
        <w:t xml:space="preserve">transmisión de los </w:t>
      </w:r>
      <w:r w:rsidR="00FA18C5" w:rsidRPr="0080490E">
        <w:rPr>
          <w:rFonts w:asciiTheme="minorHAnsi" w:hAnsiTheme="minorHAnsi" w:cstheme="minorHAnsi"/>
          <w:szCs w:val="24"/>
          <w:lang w:eastAsia="es-ES_tradnl"/>
        </w:rPr>
        <w:t xml:space="preserve">inmuebles </w:t>
      </w:r>
      <w:r w:rsidR="00501BB4" w:rsidRPr="0080490E">
        <w:rPr>
          <w:rFonts w:asciiTheme="minorHAnsi" w:hAnsiTheme="minorHAnsi" w:cstheme="minorHAnsi"/>
          <w:szCs w:val="24"/>
          <w:lang w:eastAsia="es-ES_tradnl"/>
        </w:rPr>
        <w:t xml:space="preserve">y las dificultades que presenta </w:t>
      </w:r>
      <w:r w:rsidR="0003327B" w:rsidRPr="0080490E">
        <w:rPr>
          <w:rFonts w:asciiTheme="minorHAnsi" w:hAnsiTheme="minorHAnsi" w:cstheme="minorHAnsi"/>
          <w:szCs w:val="24"/>
          <w:lang w:eastAsia="es-ES_tradnl"/>
        </w:rPr>
        <w:t>su</w:t>
      </w:r>
      <w:r w:rsidR="00501BB4" w:rsidRPr="0080490E">
        <w:rPr>
          <w:rFonts w:asciiTheme="minorHAnsi" w:hAnsiTheme="minorHAnsi" w:cstheme="minorHAnsi"/>
          <w:szCs w:val="24"/>
          <w:lang w:eastAsia="es-ES_tradnl"/>
        </w:rPr>
        <w:t xml:space="preserve"> valoración </w:t>
      </w:r>
      <w:r w:rsidR="0003327B" w:rsidRPr="0080490E">
        <w:rPr>
          <w:rFonts w:asciiTheme="minorHAnsi" w:hAnsiTheme="minorHAnsi" w:cstheme="minorHAnsi"/>
          <w:szCs w:val="24"/>
          <w:lang w:eastAsia="es-ES_tradnl"/>
        </w:rPr>
        <w:t>económica</w:t>
      </w:r>
      <w:r w:rsidR="00501BB4" w:rsidRPr="0080490E">
        <w:rPr>
          <w:rFonts w:asciiTheme="minorHAnsi" w:hAnsiTheme="minorHAnsi" w:cstheme="minorHAnsi"/>
          <w:szCs w:val="24"/>
          <w:lang w:eastAsia="es-ES_tradnl"/>
        </w:rPr>
        <w:t>.</w:t>
      </w:r>
    </w:p>
    <w:p w14:paraId="5A1BA19F" w14:textId="018A60E8" w:rsidR="00D27D70" w:rsidRPr="0080490E" w:rsidRDefault="00D74B9C"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E</w:t>
      </w:r>
      <w:r w:rsidR="00352F06" w:rsidRPr="0080490E">
        <w:rPr>
          <w:rFonts w:asciiTheme="minorHAnsi" w:hAnsiTheme="minorHAnsi" w:cstheme="minorHAnsi"/>
          <w:szCs w:val="24"/>
        </w:rPr>
        <w:t>n las últimas décadas, la inversión inmobiliaria se ha vuelto más accesible gracias a la regulación y</w:t>
      </w:r>
      <w:r w:rsidR="00234F94" w:rsidRPr="0080490E">
        <w:rPr>
          <w:rFonts w:asciiTheme="minorHAnsi" w:hAnsiTheme="minorHAnsi" w:cstheme="minorHAnsi"/>
          <w:szCs w:val="24"/>
        </w:rPr>
        <w:t xml:space="preserve"> </w:t>
      </w:r>
      <w:r w:rsidR="00352F06" w:rsidRPr="0080490E">
        <w:rPr>
          <w:rFonts w:asciiTheme="minorHAnsi" w:hAnsiTheme="minorHAnsi" w:cstheme="minorHAnsi"/>
          <w:szCs w:val="24"/>
        </w:rPr>
        <w:t xml:space="preserve">desarrollo de vehículos que </w:t>
      </w:r>
      <w:r w:rsidR="00BD339F" w:rsidRPr="0080490E">
        <w:rPr>
          <w:rFonts w:asciiTheme="minorHAnsi" w:hAnsiTheme="minorHAnsi" w:cstheme="minorHAnsi"/>
          <w:szCs w:val="24"/>
        </w:rPr>
        <w:t>facilitan</w:t>
      </w:r>
      <w:r w:rsidR="00352F06" w:rsidRPr="0080490E">
        <w:rPr>
          <w:rFonts w:asciiTheme="minorHAnsi" w:hAnsiTheme="minorHAnsi" w:cstheme="minorHAnsi"/>
          <w:szCs w:val="24"/>
        </w:rPr>
        <w:t xml:space="preserve"> </w:t>
      </w:r>
      <w:r w:rsidR="00BD339F" w:rsidRPr="0080490E">
        <w:rPr>
          <w:rFonts w:asciiTheme="minorHAnsi" w:hAnsiTheme="minorHAnsi" w:cstheme="minorHAnsi"/>
          <w:szCs w:val="24"/>
        </w:rPr>
        <w:t>la inversión individual</w:t>
      </w:r>
      <w:r w:rsidR="00753E7E" w:rsidRPr="0080490E">
        <w:rPr>
          <w:rFonts w:asciiTheme="minorHAnsi" w:hAnsiTheme="minorHAnsi" w:cstheme="minorHAnsi"/>
          <w:szCs w:val="24"/>
          <w:lang w:eastAsia="es-ES_tradnl"/>
        </w:rPr>
        <w:t>.</w:t>
      </w:r>
      <w:r w:rsidR="00017F4E" w:rsidRPr="0080490E">
        <w:rPr>
          <w:rFonts w:asciiTheme="minorHAnsi" w:hAnsiTheme="minorHAnsi" w:cstheme="minorHAnsi"/>
          <w:szCs w:val="24"/>
          <w:lang w:eastAsia="es-ES_tradnl"/>
        </w:rPr>
        <w:t xml:space="preserve"> </w:t>
      </w:r>
      <w:r w:rsidR="00A15EDE" w:rsidRPr="0080490E">
        <w:rPr>
          <w:rFonts w:asciiTheme="minorHAnsi" w:hAnsiTheme="minorHAnsi" w:cstheme="minorHAnsi"/>
          <w:szCs w:val="24"/>
          <w:lang w:eastAsia="es-ES_tradnl"/>
        </w:rPr>
        <w:t>Así</w:t>
      </w:r>
      <w:r w:rsidR="00017F4E" w:rsidRPr="0080490E">
        <w:rPr>
          <w:rFonts w:asciiTheme="minorHAnsi" w:hAnsiTheme="minorHAnsi" w:cstheme="minorHAnsi"/>
          <w:szCs w:val="24"/>
          <w:lang w:eastAsia="es-ES_tradnl"/>
        </w:rPr>
        <w:t xml:space="preserve"> cabe destacar las </w:t>
      </w:r>
      <w:r w:rsidR="00017F4E" w:rsidRPr="0080490E">
        <w:rPr>
          <w:rFonts w:asciiTheme="minorHAnsi" w:hAnsiTheme="minorHAnsi" w:cstheme="minorHAnsi"/>
          <w:szCs w:val="24"/>
        </w:rPr>
        <w:t>sociedades anónimas cotizadas de inversión en el mercado inmobiliario</w:t>
      </w:r>
      <w:r w:rsidR="00017F4E" w:rsidRPr="0080490E">
        <w:rPr>
          <w:rFonts w:asciiTheme="minorHAnsi" w:hAnsiTheme="minorHAnsi" w:cstheme="minorHAnsi"/>
          <w:szCs w:val="24"/>
          <w:lang w:eastAsia="es-ES_tradnl"/>
        </w:rPr>
        <w:t xml:space="preserve"> </w:t>
      </w:r>
      <w:r w:rsidR="007B33D9" w:rsidRPr="0080490E">
        <w:rPr>
          <w:rFonts w:asciiTheme="minorHAnsi" w:hAnsiTheme="minorHAnsi" w:cstheme="minorHAnsi"/>
          <w:szCs w:val="24"/>
          <w:lang w:eastAsia="es-ES_tradnl"/>
        </w:rPr>
        <w:t xml:space="preserve">reguladas en la </w:t>
      </w:r>
      <w:r w:rsidR="007B33D9" w:rsidRPr="0080490E">
        <w:rPr>
          <w:rFonts w:asciiTheme="minorHAnsi" w:hAnsiTheme="minorHAnsi" w:cstheme="minorHAnsi"/>
          <w:szCs w:val="24"/>
        </w:rPr>
        <w:t>Ley 11/2009, de 26 de octubre</w:t>
      </w:r>
      <w:r w:rsidR="007B33D9" w:rsidRPr="0080490E">
        <w:rPr>
          <w:rFonts w:asciiTheme="minorHAnsi" w:hAnsiTheme="minorHAnsi" w:cstheme="minorHAnsi"/>
          <w:szCs w:val="24"/>
          <w:lang w:eastAsia="es-ES_tradnl"/>
        </w:rPr>
        <w:t xml:space="preserve">. El objeto social de estas sociedades </w:t>
      </w:r>
      <w:r w:rsidR="008C248B" w:rsidRPr="0080490E">
        <w:rPr>
          <w:rFonts w:asciiTheme="minorHAnsi" w:hAnsiTheme="minorHAnsi" w:cstheme="minorHAnsi"/>
          <w:szCs w:val="24"/>
          <w:lang w:eastAsia="es-ES_tradnl"/>
        </w:rPr>
        <w:t>es</w:t>
      </w:r>
      <w:r w:rsidR="007B33D9" w:rsidRPr="0080490E">
        <w:rPr>
          <w:rFonts w:asciiTheme="minorHAnsi" w:hAnsiTheme="minorHAnsi" w:cstheme="minorHAnsi"/>
          <w:szCs w:val="24"/>
          <w:lang w:eastAsia="es-ES_tradnl"/>
        </w:rPr>
        <w:t xml:space="preserve"> </w:t>
      </w:r>
      <w:r w:rsidR="00173EB4" w:rsidRPr="0080490E">
        <w:rPr>
          <w:rFonts w:asciiTheme="minorHAnsi" w:hAnsiTheme="minorHAnsi" w:cstheme="minorHAnsi"/>
          <w:szCs w:val="24"/>
          <w:lang w:eastAsia="es-ES_tradnl"/>
        </w:rPr>
        <w:t xml:space="preserve">la </w:t>
      </w:r>
      <w:r w:rsidR="00173EB4" w:rsidRPr="0080490E">
        <w:rPr>
          <w:rFonts w:asciiTheme="minorHAnsi" w:hAnsiTheme="minorHAnsi" w:cstheme="minorHAnsi"/>
          <w:szCs w:val="24"/>
        </w:rPr>
        <w:t>adquisición y promoción de inmuebles urban</w:t>
      </w:r>
      <w:r w:rsidR="00BD339F" w:rsidRPr="0080490E">
        <w:rPr>
          <w:rFonts w:asciiTheme="minorHAnsi" w:hAnsiTheme="minorHAnsi" w:cstheme="minorHAnsi"/>
          <w:szCs w:val="24"/>
        </w:rPr>
        <w:t>os</w:t>
      </w:r>
      <w:r w:rsidR="00173EB4" w:rsidRPr="0080490E">
        <w:rPr>
          <w:rFonts w:asciiTheme="minorHAnsi" w:hAnsiTheme="minorHAnsi" w:cstheme="minorHAnsi"/>
          <w:szCs w:val="24"/>
        </w:rPr>
        <w:t xml:space="preserve"> para su arrendamiento</w:t>
      </w:r>
      <w:r w:rsidR="002763E5" w:rsidRPr="0080490E">
        <w:rPr>
          <w:rFonts w:asciiTheme="minorHAnsi" w:hAnsiTheme="minorHAnsi" w:cstheme="minorHAnsi"/>
          <w:szCs w:val="24"/>
        </w:rPr>
        <w:t xml:space="preserve"> y posterior venta</w:t>
      </w:r>
      <w:r w:rsidR="009D7F45" w:rsidRPr="0080490E">
        <w:rPr>
          <w:rStyle w:val="Refdenotaalpie"/>
          <w:rFonts w:asciiTheme="minorHAnsi" w:hAnsiTheme="minorHAnsi" w:cstheme="minorHAnsi"/>
          <w:szCs w:val="24"/>
          <w:lang w:eastAsia="es-ES_tradnl"/>
        </w:rPr>
        <w:footnoteReference w:id="2"/>
      </w:r>
      <w:r w:rsidR="00173EB4" w:rsidRPr="0080490E">
        <w:rPr>
          <w:rFonts w:asciiTheme="minorHAnsi" w:hAnsiTheme="minorHAnsi" w:cstheme="minorHAnsi"/>
          <w:szCs w:val="24"/>
        </w:rPr>
        <w:t xml:space="preserve">. Respecto de </w:t>
      </w:r>
      <w:r w:rsidR="00BD339F" w:rsidRPr="0080490E">
        <w:rPr>
          <w:rFonts w:asciiTheme="minorHAnsi" w:hAnsiTheme="minorHAnsi" w:cstheme="minorHAnsi"/>
          <w:szCs w:val="24"/>
        </w:rPr>
        <w:t>ellas</w:t>
      </w:r>
      <w:r w:rsidR="00173EB4" w:rsidRPr="0080490E">
        <w:rPr>
          <w:rFonts w:asciiTheme="minorHAnsi" w:hAnsiTheme="minorHAnsi" w:cstheme="minorHAnsi"/>
          <w:szCs w:val="24"/>
        </w:rPr>
        <w:t xml:space="preserve">, </w:t>
      </w:r>
      <w:r w:rsidR="00616E85" w:rsidRPr="0080490E">
        <w:rPr>
          <w:rFonts w:asciiTheme="minorHAnsi" w:hAnsiTheme="minorHAnsi" w:cstheme="minorHAnsi"/>
          <w:szCs w:val="24"/>
          <w:lang w:eastAsia="es-ES_tradnl"/>
        </w:rPr>
        <w:t>los</w:t>
      </w:r>
      <w:r w:rsidR="007B4EFD" w:rsidRPr="0080490E">
        <w:rPr>
          <w:rFonts w:asciiTheme="minorHAnsi" w:hAnsiTheme="minorHAnsi" w:cstheme="minorHAnsi"/>
          <w:szCs w:val="24"/>
          <w:lang w:eastAsia="es-ES_tradnl"/>
        </w:rPr>
        <w:t xml:space="preserve"> inversor</w:t>
      </w:r>
      <w:r w:rsidR="00616E85" w:rsidRPr="0080490E">
        <w:rPr>
          <w:rFonts w:asciiTheme="minorHAnsi" w:hAnsiTheme="minorHAnsi" w:cstheme="minorHAnsi"/>
          <w:szCs w:val="24"/>
          <w:lang w:eastAsia="es-ES_tradnl"/>
        </w:rPr>
        <w:t>es</w:t>
      </w:r>
      <w:r w:rsidR="007B4EFD" w:rsidRPr="0080490E">
        <w:rPr>
          <w:rFonts w:asciiTheme="minorHAnsi" w:hAnsiTheme="minorHAnsi" w:cstheme="minorHAnsi"/>
          <w:szCs w:val="24"/>
          <w:lang w:eastAsia="es-ES_tradnl"/>
        </w:rPr>
        <w:t xml:space="preserve"> adquiere</w:t>
      </w:r>
      <w:r w:rsidR="00616E85" w:rsidRPr="0080490E">
        <w:rPr>
          <w:rFonts w:asciiTheme="minorHAnsi" w:hAnsiTheme="minorHAnsi" w:cstheme="minorHAnsi"/>
          <w:szCs w:val="24"/>
          <w:lang w:eastAsia="es-ES_tradnl"/>
        </w:rPr>
        <w:t>n</w:t>
      </w:r>
      <w:r w:rsidR="007B4EFD" w:rsidRPr="0080490E">
        <w:rPr>
          <w:rFonts w:asciiTheme="minorHAnsi" w:hAnsiTheme="minorHAnsi" w:cstheme="minorHAnsi"/>
          <w:szCs w:val="24"/>
          <w:lang w:eastAsia="es-ES_tradnl"/>
        </w:rPr>
        <w:t xml:space="preserve"> acciones </w:t>
      </w:r>
      <w:r w:rsidR="00616E85" w:rsidRPr="0080490E">
        <w:rPr>
          <w:rFonts w:asciiTheme="minorHAnsi" w:hAnsiTheme="minorHAnsi" w:cstheme="minorHAnsi"/>
          <w:szCs w:val="24"/>
          <w:lang w:eastAsia="es-ES_tradnl"/>
        </w:rPr>
        <w:t>que les otorgan derechos políticos en la toma de decisiones de la sociedad, así como derechos económicos derivados de los ingresos generados por los inmuebles</w:t>
      </w:r>
      <w:r w:rsidR="007B4EFD" w:rsidRPr="0080490E">
        <w:rPr>
          <w:rFonts w:asciiTheme="minorHAnsi" w:hAnsiTheme="minorHAnsi" w:cstheme="minorHAnsi"/>
          <w:szCs w:val="24"/>
          <w:lang w:eastAsia="es-ES_tradnl"/>
        </w:rPr>
        <w:t>.</w:t>
      </w:r>
      <w:r w:rsidR="00A07BAC" w:rsidRPr="0080490E">
        <w:rPr>
          <w:rFonts w:asciiTheme="minorHAnsi" w:hAnsiTheme="minorHAnsi" w:cstheme="minorHAnsi"/>
          <w:szCs w:val="24"/>
          <w:lang w:eastAsia="es-ES_tradnl"/>
        </w:rPr>
        <w:t xml:space="preserve"> </w:t>
      </w:r>
      <w:r w:rsidR="00616E85" w:rsidRPr="0080490E">
        <w:rPr>
          <w:rFonts w:asciiTheme="minorHAnsi" w:hAnsiTheme="minorHAnsi" w:cstheme="minorHAnsi"/>
          <w:szCs w:val="24"/>
          <w:lang w:eastAsia="es-ES_tradnl"/>
        </w:rPr>
        <w:t>Aunque el legislador introdujo esta figura con la intención de fomentar la participación de inversores minoristas y ampliar la oferta de inmuebles para alquiler</w:t>
      </w:r>
      <w:r w:rsidR="00A07BAC" w:rsidRPr="0080490E">
        <w:rPr>
          <w:rFonts w:asciiTheme="minorHAnsi" w:hAnsiTheme="minorHAnsi" w:cstheme="minorHAnsi"/>
          <w:szCs w:val="24"/>
          <w:lang w:eastAsia="es-ES_tradnl"/>
        </w:rPr>
        <w:t xml:space="preserve">, </w:t>
      </w:r>
      <w:r w:rsidR="00A07BAC" w:rsidRPr="0080490E">
        <w:rPr>
          <w:rFonts w:asciiTheme="minorHAnsi" w:hAnsiTheme="minorHAnsi" w:cstheme="minorHAnsi"/>
          <w:szCs w:val="24"/>
        </w:rPr>
        <w:t>es cuestionable que haya logrado su objetivo</w:t>
      </w:r>
      <w:r w:rsidR="00A07BAC" w:rsidRPr="0080490E">
        <w:rPr>
          <w:rStyle w:val="Refdenotaalpie"/>
          <w:rFonts w:asciiTheme="minorHAnsi" w:hAnsiTheme="minorHAnsi" w:cstheme="minorHAnsi"/>
          <w:szCs w:val="24"/>
        </w:rPr>
        <w:footnoteReference w:id="3"/>
      </w:r>
      <w:r w:rsidR="00A07BAC" w:rsidRPr="0080490E">
        <w:rPr>
          <w:rFonts w:asciiTheme="minorHAnsi" w:hAnsiTheme="minorHAnsi" w:cstheme="minorHAnsi"/>
          <w:szCs w:val="24"/>
        </w:rPr>
        <w:t>.</w:t>
      </w:r>
    </w:p>
    <w:p w14:paraId="253C5570" w14:textId="79EAA4FF" w:rsidR="009D7F45" w:rsidRPr="0080490E" w:rsidRDefault="00616E85"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lang w:eastAsia="es-ES_tradnl"/>
        </w:rPr>
        <w:t>Otra vía es la financiación colectiva o participativa</w:t>
      </w:r>
      <w:r w:rsidR="00E850B2" w:rsidRPr="0080490E">
        <w:rPr>
          <w:rFonts w:asciiTheme="minorHAnsi" w:hAnsiTheme="minorHAnsi" w:cstheme="minorHAnsi"/>
          <w:szCs w:val="24"/>
          <w:lang w:eastAsia="es-ES_tradnl"/>
        </w:rPr>
        <w:t xml:space="preserve"> en</w:t>
      </w:r>
      <w:r w:rsidRPr="0080490E">
        <w:rPr>
          <w:rFonts w:asciiTheme="minorHAnsi" w:hAnsiTheme="minorHAnsi" w:cstheme="minorHAnsi"/>
          <w:szCs w:val="24"/>
          <w:lang w:eastAsia="es-ES_tradnl"/>
        </w:rPr>
        <w:t xml:space="preserve"> proyectos inmobiliarios</w:t>
      </w:r>
      <w:r w:rsidR="007B4EFD" w:rsidRPr="0080490E">
        <w:rPr>
          <w:rFonts w:asciiTheme="minorHAnsi" w:hAnsiTheme="minorHAnsi" w:cstheme="minorHAnsi"/>
          <w:szCs w:val="24"/>
        </w:rPr>
        <w:t xml:space="preserve">. </w:t>
      </w:r>
      <w:r w:rsidR="00A31E0C" w:rsidRPr="0080490E">
        <w:rPr>
          <w:rFonts w:asciiTheme="minorHAnsi" w:hAnsiTheme="minorHAnsi" w:cstheme="minorHAnsi"/>
          <w:szCs w:val="24"/>
        </w:rPr>
        <w:t>L</w:t>
      </w:r>
      <w:r w:rsidR="00CE1127" w:rsidRPr="0080490E">
        <w:rPr>
          <w:rFonts w:asciiTheme="minorHAnsi" w:hAnsiTheme="minorHAnsi" w:cstheme="minorHAnsi"/>
          <w:szCs w:val="24"/>
        </w:rPr>
        <w:t xml:space="preserve">as operaciones de </w:t>
      </w:r>
      <w:r w:rsidR="00CE1127" w:rsidRPr="0080490E">
        <w:rPr>
          <w:rFonts w:asciiTheme="minorHAnsi" w:hAnsiTheme="minorHAnsi" w:cstheme="minorHAnsi"/>
          <w:i/>
          <w:iCs/>
          <w:szCs w:val="24"/>
        </w:rPr>
        <w:t>crowdfunding</w:t>
      </w:r>
      <w:r w:rsidR="00CE1127" w:rsidRPr="0080490E">
        <w:rPr>
          <w:rFonts w:asciiTheme="minorHAnsi" w:hAnsiTheme="minorHAnsi" w:cstheme="minorHAnsi"/>
          <w:szCs w:val="24"/>
        </w:rPr>
        <w:t xml:space="preserve"> de inversión están reguladas en la Ley 5/2015, de 27 de abril, de fomento de la financiación empresarial</w:t>
      </w:r>
      <w:r w:rsidR="006D1EEA" w:rsidRPr="0080490E">
        <w:rPr>
          <w:rFonts w:asciiTheme="minorHAnsi" w:hAnsiTheme="minorHAnsi" w:cstheme="minorHAnsi"/>
          <w:szCs w:val="24"/>
        </w:rPr>
        <w:t xml:space="preserve"> </w:t>
      </w:r>
      <w:r w:rsidR="005A0506" w:rsidRPr="0080490E">
        <w:rPr>
          <w:rFonts w:asciiTheme="minorHAnsi" w:hAnsiTheme="minorHAnsi" w:cstheme="minorHAnsi"/>
          <w:szCs w:val="24"/>
        </w:rPr>
        <w:t>y el Reglamento (UE) 2020/1503 del Parlamento Europeo y del Consejo de 7 de octubre de 2020 relativo a los proveedores europeos de servicios de financiación participativa para empresas</w:t>
      </w:r>
      <w:r w:rsidR="009D7F45" w:rsidRPr="0080490E">
        <w:rPr>
          <w:rFonts w:asciiTheme="minorHAnsi" w:hAnsiTheme="minorHAnsi" w:cstheme="minorHAnsi"/>
          <w:szCs w:val="24"/>
        </w:rPr>
        <w:t>.</w:t>
      </w:r>
    </w:p>
    <w:p w14:paraId="6764C42C" w14:textId="01BA4CC5" w:rsidR="00FD19E7" w:rsidRPr="0080490E" w:rsidRDefault="00616E85"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Este trabajo tiene como objetivo explorar otra alternativa que consiste en utilizar las cadenas de bloques, la tokenización y los contratos inteligentes </w:t>
      </w:r>
      <w:r w:rsidR="00FD19E7" w:rsidRPr="0080490E">
        <w:rPr>
          <w:rFonts w:asciiTheme="minorHAnsi" w:hAnsiTheme="minorHAnsi" w:cstheme="minorHAnsi"/>
          <w:szCs w:val="24"/>
        </w:rPr>
        <w:t>como catalizadores</w:t>
      </w:r>
      <w:r w:rsidR="00CA78FF" w:rsidRPr="0080490E">
        <w:rPr>
          <w:rFonts w:asciiTheme="minorHAnsi" w:hAnsiTheme="minorHAnsi" w:cstheme="minorHAnsi"/>
          <w:szCs w:val="24"/>
        </w:rPr>
        <w:t xml:space="preserve"> de la inversión</w:t>
      </w:r>
      <w:r w:rsidR="00FD19E7" w:rsidRPr="0080490E">
        <w:rPr>
          <w:rFonts w:asciiTheme="minorHAnsi" w:hAnsiTheme="minorHAnsi" w:cstheme="minorHAnsi"/>
          <w:szCs w:val="24"/>
        </w:rPr>
        <w:t xml:space="preserve">. </w:t>
      </w:r>
      <w:r w:rsidRPr="0080490E">
        <w:rPr>
          <w:rFonts w:asciiTheme="minorHAnsi" w:hAnsiTheme="minorHAnsi" w:cstheme="minorHAnsi"/>
          <w:szCs w:val="24"/>
          <w:lang w:eastAsia="es-ES_tradnl"/>
        </w:rPr>
        <w:t xml:space="preserve">Aunque </w:t>
      </w:r>
      <w:r w:rsidR="00E850B2" w:rsidRPr="0080490E">
        <w:rPr>
          <w:rFonts w:asciiTheme="minorHAnsi" w:hAnsiTheme="minorHAnsi" w:cstheme="minorHAnsi"/>
          <w:szCs w:val="24"/>
          <w:lang w:eastAsia="es-ES_tradnl"/>
        </w:rPr>
        <w:t xml:space="preserve">la inversión tokenizada es todavía </w:t>
      </w:r>
      <w:r w:rsidR="00210BB3" w:rsidRPr="0080490E">
        <w:rPr>
          <w:rFonts w:asciiTheme="minorHAnsi" w:hAnsiTheme="minorHAnsi" w:cstheme="minorHAnsi"/>
          <w:szCs w:val="24"/>
          <w:lang w:eastAsia="es-ES_tradnl"/>
        </w:rPr>
        <w:t>minoritaria</w:t>
      </w:r>
      <w:r w:rsidRPr="0080490E">
        <w:rPr>
          <w:rFonts w:asciiTheme="minorHAnsi" w:hAnsiTheme="minorHAnsi" w:cstheme="minorHAnsi"/>
          <w:szCs w:val="24"/>
          <w:lang w:eastAsia="es-ES_tradnl"/>
        </w:rPr>
        <w:t>, ha experimentado un crecimiento notable en los últimos años, atrayendo la atención de inversores, empresarios y, naturalmente, del legislador y las entidades supervisoras de inversión.</w:t>
      </w:r>
    </w:p>
    <w:p w14:paraId="2A7CEBE8" w14:textId="77777777" w:rsidR="00616E85" w:rsidRPr="0080490E" w:rsidRDefault="00616E85" w:rsidP="0080490E">
      <w:pPr>
        <w:spacing w:after="0" w:line="276" w:lineRule="auto"/>
        <w:ind w:firstLine="0"/>
        <w:rPr>
          <w:rFonts w:asciiTheme="minorHAnsi" w:hAnsiTheme="minorHAnsi" w:cstheme="minorHAnsi"/>
          <w:szCs w:val="24"/>
          <w:lang w:eastAsia="es-ES_tradnl"/>
        </w:rPr>
      </w:pPr>
    </w:p>
    <w:p w14:paraId="4EC9BEBD" w14:textId="5A3DE2F1" w:rsidR="00973753" w:rsidRPr="0080490E" w:rsidRDefault="00973753" w:rsidP="0080490E">
      <w:pPr>
        <w:pStyle w:val="Ttulo1"/>
        <w:spacing w:after="0" w:line="276" w:lineRule="auto"/>
        <w:ind w:firstLine="0"/>
        <w:rPr>
          <w:rFonts w:asciiTheme="minorHAnsi" w:hAnsiTheme="minorHAnsi" w:cstheme="minorHAnsi"/>
        </w:rPr>
      </w:pPr>
      <w:r w:rsidRPr="0080490E">
        <w:rPr>
          <w:rFonts w:asciiTheme="minorHAnsi" w:hAnsiTheme="minorHAnsi" w:cstheme="minorHAnsi"/>
        </w:rPr>
        <w:t xml:space="preserve">2. Una aproximación a </w:t>
      </w:r>
      <w:r w:rsidR="00160E72" w:rsidRPr="0080490E">
        <w:rPr>
          <w:rFonts w:asciiTheme="minorHAnsi" w:hAnsiTheme="minorHAnsi" w:cstheme="minorHAnsi"/>
        </w:rPr>
        <w:t>la tokenización</w:t>
      </w:r>
    </w:p>
    <w:p w14:paraId="0D448E24" w14:textId="14D0C7B4" w:rsidR="00D95053" w:rsidRPr="0080490E" w:rsidRDefault="00D95053" w:rsidP="0080490E">
      <w:pPr>
        <w:pStyle w:val="Ttulo2"/>
        <w:spacing w:after="0" w:line="276" w:lineRule="auto"/>
        <w:ind w:firstLine="0"/>
        <w:rPr>
          <w:rFonts w:asciiTheme="minorHAnsi" w:hAnsiTheme="minorHAnsi" w:cstheme="minorHAnsi"/>
          <w:szCs w:val="24"/>
        </w:rPr>
      </w:pPr>
      <w:r w:rsidRPr="0080490E">
        <w:rPr>
          <w:rFonts w:asciiTheme="minorHAnsi" w:hAnsiTheme="minorHAnsi" w:cstheme="minorHAnsi"/>
          <w:szCs w:val="24"/>
        </w:rPr>
        <w:t>2.1</w:t>
      </w:r>
      <w:r w:rsidR="008729E4" w:rsidRPr="0080490E">
        <w:rPr>
          <w:rFonts w:asciiTheme="minorHAnsi" w:hAnsiTheme="minorHAnsi" w:cstheme="minorHAnsi"/>
          <w:szCs w:val="24"/>
        </w:rPr>
        <w:t>.</w:t>
      </w:r>
      <w:r w:rsidRPr="0080490E">
        <w:rPr>
          <w:rFonts w:asciiTheme="minorHAnsi" w:hAnsiTheme="minorHAnsi" w:cstheme="minorHAnsi"/>
          <w:szCs w:val="24"/>
        </w:rPr>
        <w:t xml:space="preserve"> Del </w:t>
      </w:r>
      <w:r w:rsidR="00542D01" w:rsidRPr="0080490E">
        <w:rPr>
          <w:rFonts w:asciiTheme="minorHAnsi" w:hAnsiTheme="minorHAnsi" w:cstheme="minorHAnsi"/>
          <w:szCs w:val="24"/>
        </w:rPr>
        <w:t>b</w:t>
      </w:r>
      <w:r w:rsidRPr="0080490E">
        <w:rPr>
          <w:rFonts w:asciiTheme="minorHAnsi" w:hAnsiTheme="minorHAnsi" w:cstheme="minorHAnsi"/>
          <w:szCs w:val="24"/>
        </w:rPr>
        <w:t>itcoin al token</w:t>
      </w:r>
      <w:r w:rsidR="005F3C85" w:rsidRPr="0080490E">
        <w:rPr>
          <w:rFonts w:asciiTheme="minorHAnsi" w:hAnsiTheme="minorHAnsi" w:cstheme="minorHAnsi"/>
          <w:szCs w:val="24"/>
        </w:rPr>
        <w:t xml:space="preserve"> representativo</w:t>
      </w:r>
    </w:p>
    <w:p w14:paraId="264447B6" w14:textId="037B1778" w:rsidR="00432D99" w:rsidRPr="0080490E" w:rsidRDefault="00432D99"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En 2008 Satoshi </w:t>
      </w:r>
      <w:r w:rsidRPr="0080490E">
        <w:rPr>
          <w:rFonts w:asciiTheme="minorHAnsi" w:hAnsiTheme="minorHAnsi" w:cstheme="minorHAnsi"/>
          <w:smallCaps/>
          <w:szCs w:val="24"/>
        </w:rPr>
        <w:t>Nakamoto</w:t>
      </w:r>
      <w:r w:rsidRPr="0080490E">
        <w:rPr>
          <w:rFonts w:asciiTheme="minorHAnsi" w:hAnsiTheme="minorHAnsi" w:cstheme="minorHAnsi"/>
          <w:szCs w:val="24"/>
        </w:rPr>
        <w:t xml:space="preserve"> </w:t>
      </w:r>
      <w:r w:rsidR="00916BDF" w:rsidRPr="0080490E">
        <w:rPr>
          <w:rFonts w:asciiTheme="minorHAnsi" w:hAnsiTheme="minorHAnsi" w:cstheme="minorHAnsi"/>
          <w:szCs w:val="24"/>
        </w:rPr>
        <w:t xml:space="preserve">publicó </w:t>
      </w:r>
      <w:r w:rsidR="00CF2A7D" w:rsidRPr="0080490E">
        <w:rPr>
          <w:rFonts w:asciiTheme="minorHAnsi" w:hAnsiTheme="minorHAnsi" w:cstheme="minorHAnsi"/>
          <w:szCs w:val="24"/>
        </w:rPr>
        <w:t>el</w:t>
      </w:r>
      <w:r w:rsidR="00916BDF" w:rsidRPr="0080490E">
        <w:rPr>
          <w:rFonts w:asciiTheme="minorHAnsi" w:hAnsiTheme="minorHAnsi" w:cstheme="minorHAnsi"/>
          <w:szCs w:val="24"/>
        </w:rPr>
        <w:t xml:space="preserve"> documento “</w:t>
      </w:r>
      <w:r w:rsidR="00916BDF" w:rsidRPr="0080490E">
        <w:rPr>
          <w:rFonts w:asciiTheme="minorHAnsi" w:hAnsiTheme="minorHAnsi" w:cstheme="minorHAnsi"/>
          <w:i/>
          <w:iCs/>
          <w:szCs w:val="24"/>
        </w:rPr>
        <w:t>Bitcoin: a Peer-</w:t>
      </w:r>
      <w:proofErr w:type="spellStart"/>
      <w:r w:rsidR="00916BDF" w:rsidRPr="0080490E">
        <w:rPr>
          <w:rFonts w:asciiTheme="minorHAnsi" w:hAnsiTheme="minorHAnsi" w:cstheme="minorHAnsi"/>
          <w:i/>
          <w:iCs/>
          <w:szCs w:val="24"/>
        </w:rPr>
        <w:t>to</w:t>
      </w:r>
      <w:proofErr w:type="spellEnd"/>
      <w:r w:rsidR="00916BDF" w:rsidRPr="0080490E">
        <w:rPr>
          <w:rFonts w:asciiTheme="minorHAnsi" w:hAnsiTheme="minorHAnsi" w:cstheme="minorHAnsi"/>
          <w:i/>
          <w:iCs/>
          <w:szCs w:val="24"/>
        </w:rPr>
        <w:t>-Peer Electronic Cash</w:t>
      </w:r>
      <w:r w:rsidR="00916BDF" w:rsidRPr="0080490E">
        <w:rPr>
          <w:rFonts w:asciiTheme="minorHAnsi" w:hAnsiTheme="minorHAnsi" w:cstheme="minorHAnsi"/>
          <w:szCs w:val="24"/>
        </w:rPr>
        <w:t xml:space="preserve"> </w:t>
      </w:r>
      <w:proofErr w:type="spellStart"/>
      <w:r w:rsidR="00916BDF" w:rsidRPr="0080490E">
        <w:rPr>
          <w:rFonts w:asciiTheme="minorHAnsi" w:hAnsiTheme="minorHAnsi" w:cstheme="minorHAnsi"/>
          <w:szCs w:val="24"/>
        </w:rPr>
        <w:t>System</w:t>
      </w:r>
      <w:proofErr w:type="spellEnd"/>
      <w:r w:rsidR="00916BDF" w:rsidRPr="0080490E">
        <w:rPr>
          <w:rFonts w:asciiTheme="minorHAnsi" w:hAnsiTheme="minorHAnsi" w:cstheme="minorHAnsi"/>
          <w:szCs w:val="24"/>
        </w:rPr>
        <w:t xml:space="preserve">” </w:t>
      </w:r>
      <w:r w:rsidR="00CF2A7D" w:rsidRPr="0080490E">
        <w:rPr>
          <w:rFonts w:asciiTheme="minorHAnsi" w:hAnsiTheme="minorHAnsi" w:cstheme="minorHAnsi"/>
          <w:szCs w:val="24"/>
        </w:rPr>
        <w:t>que</w:t>
      </w:r>
      <w:r w:rsidR="00916BDF" w:rsidRPr="0080490E">
        <w:rPr>
          <w:rFonts w:asciiTheme="minorHAnsi" w:hAnsiTheme="minorHAnsi" w:cstheme="minorHAnsi"/>
          <w:szCs w:val="24"/>
        </w:rPr>
        <w:t xml:space="preserve"> revolucion</w:t>
      </w:r>
      <w:r w:rsidR="00B21D48" w:rsidRPr="0080490E">
        <w:rPr>
          <w:rFonts w:asciiTheme="minorHAnsi" w:hAnsiTheme="minorHAnsi" w:cstheme="minorHAnsi"/>
          <w:szCs w:val="24"/>
        </w:rPr>
        <w:t>ó</w:t>
      </w:r>
      <w:r w:rsidR="00916BDF" w:rsidRPr="0080490E">
        <w:rPr>
          <w:rFonts w:asciiTheme="minorHAnsi" w:hAnsiTheme="minorHAnsi" w:cstheme="minorHAnsi"/>
          <w:szCs w:val="24"/>
        </w:rPr>
        <w:t xml:space="preserve"> el concepto de dinero</w:t>
      </w:r>
      <w:r w:rsidR="00CF2A7D" w:rsidRPr="0080490E">
        <w:rPr>
          <w:rFonts w:asciiTheme="minorHAnsi" w:hAnsiTheme="minorHAnsi" w:cstheme="minorHAnsi"/>
          <w:szCs w:val="24"/>
        </w:rPr>
        <w:t xml:space="preserve"> por introducir una criptomoneda diseñada para operar sin el respaldo de autoridades públicas ni la intermediación de instituciones financieras</w:t>
      </w:r>
      <w:r w:rsidR="00916BDF" w:rsidRPr="0080490E">
        <w:rPr>
          <w:rFonts w:asciiTheme="minorHAnsi" w:hAnsiTheme="minorHAnsi" w:cstheme="minorHAnsi"/>
          <w:szCs w:val="24"/>
          <w:vertAlign w:val="superscript"/>
        </w:rPr>
        <w:footnoteReference w:id="4"/>
      </w:r>
      <w:r w:rsidR="00916BDF" w:rsidRPr="0080490E">
        <w:rPr>
          <w:rFonts w:asciiTheme="minorHAnsi" w:hAnsiTheme="minorHAnsi" w:cstheme="minorHAnsi"/>
          <w:szCs w:val="24"/>
        </w:rPr>
        <w:t>.</w:t>
      </w:r>
      <w:r w:rsidR="0082228D" w:rsidRPr="0080490E">
        <w:rPr>
          <w:rFonts w:asciiTheme="minorHAnsi" w:hAnsiTheme="minorHAnsi" w:cstheme="minorHAnsi"/>
          <w:szCs w:val="24"/>
        </w:rPr>
        <w:t xml:space="preserve"> </w:t>
      </w:r>
      <w:r w:rsidRPr="0080490E">
        <w:rPr>
          <w:rFonts w:asciiTheme="minorHAnsi" w:hAnsiTheme="minorHAnsi" w:cstheme="minorHAnsi"/>
          <w:szCs w:val="24"/>
        </w:rPr>
        <w:t>Para administrar, asegurar y gestionar lo</w:t>
      </w:r>
      <w:r w:rsidR="00CF2A7D" w:rsidRPr="0080490E">
        <w:rPr>
          <w:rFonts w:asciiTheme="minorHAnsi" w:hAnsiTheme="minorHAnsi" w:cstheme="minorHAnsi"/>
          <w:szCs w:val="24"/>
        </w:rPr>
        <w:t>s intercambios de criptomonedas se</w:t>
      </w:r>
      <w:r w:rsidR="00E7086C" w:rsidRPr="0080490E">
        <w:rPr>
          <w:rFonts w:asciiTheme="minorHAnsi" w:hAnsiTheme="minorHAnsi" w:cstheme="minorHAnsi"/>
          <w:szCs w:val="24"/>
        </w:rPr>
        <w:t xml:space="preserve"> desarrolló</w:t>
      </w:r>
      <w:r w:rsidRPr="0080490E">
        <w:rPr>
          <w:rFonts w:asciiTheme="minorHAnsi" w:hAnsiTheme="minorHAnsi" w:cstheme="minorHAnsi"/>
          <w:szCs w:val="24"/>
        </w:rPr>
        <w:t xml:space="preserve"> una tecnología que se ha denominado “blockchain” que actúa como registro descentralizado, inmutable y permanente de las transacciones de bitcoins.</w:t>
      </w:r>
    </w:p>
    <w:p w14:paraId="6124915A" w14:textId="506A33D3" w:rsidR="00476D71" w:rsidRPr="0080490E" w:rsidRDefault="00432D99" w:rsidP="0080490E">
      <w:pPr>
        <w:spacing w:after="0" w:line="276" w:lineRule="auto"/>
        <w:ind w:firstLine="0"/>
        <w:rPr>
          <w:rFonts w:asciiTheme="minorHAnsi" w:hAnsiTheme="minorHAnsi" w:cstheme="minorHAnsi"/>
          <w:szCs w:val="24"/>
          <w:lang w:eastAsia="es-ES_tradnl"/>
        </w:rPr>
      </w:pPr>
      <w:r w:rsidRPr="0080490E">
        <w:rPr>
          <w:rFonts w:asciiTheme="minorHAnsi" w:hAnsiTheme="minorHAnsi" w:cstheme="minorHAnsi"/>
          <w:szCs w:val="24"/>
        </w:rPr>
        <w:t xml:space="preserve">El éxito de </w:t>
      </w:r>
      <w:r w:rsidR="00CF16CB" w:rsidRPr="0080490E">
        <w:rPr>
          <w:rFonts w:asciiTheme="minorHAnsi" w:hAnsiTheme="minorHAnsi" w:cstheme="minorHAnsi"/>
          <w:szCs w:val="24"/>
        </w:rPr>
        <w:t>b</w:t>
      </w:r>
      <w:r w:rsidRPr="0080490E">
        <w:rPr>
          <w:rFonts w:asciiTheme="minorHAnsi" w:hAnsiTheme="minorHAnsi" w:cstheme="minorHAnsi"/>
          <w:szCs w:val="24"/>
        </w:rPr>
        <w:t>itcoin ha propiciado el desarrollo de otras cadenas de bloques</w:t>
      </w:r>
      <w:r w:rsidR="002F675D" w:rsidRPr="0080490E">
        <w:rPr>
          <w:rFonts w:asciiTheme="minorHAnsi" w:hAnsiTheme="minorHAnsi" w:cstheme="minorHAnsi"/>
          <w:szCs w:val="24"/>
        </w:rPr>
        <w:t xml:space="preserve"> y</w:t>
      </w:r>
      <w:r w:rsidR="00FA71BA" w:rsidRPr="0080490E">
        <w:rPr>
          <w:rFonts w:asciiTheme="minorHAnsi" w:hAnsiTheme="minorHAnsi" w:cstheme="minorHAnsi"/>
          <w:szCs w:val="24"/>
        </w:rPr>
        <w:t xml:space="preserve"> su</w:t>
      </w:r>
      <w:r w:rsidR="00014312" w:rsidRPr="0080490E">
        <w:rPr>
          <w:rFonts w:asciiTheme="minorHAnsi" w:hAnsiTheme="minorHAnsi" w:cstheme="minorHAnsi"/>
          <w:szCs w:val="24"/>
        </w:rPr>
        <w:t xml:space="preserve"> </w:t>
      </w:r>
      <w:r w:rsidR="00FA71BA" w:rsidRPr="0080490E">
        <w:rPr>
          <w:rFonts w:asciiTheme="minorHAnsi" w:hAnsiTheme="minorHAnsi" w:cstheme="minorHAnsi"/>
          <w:szCs w:val="24"/>
        </w:rPr>
        <w:t>combinación con otras tecnologías como es el caso de</w:t>
      </w:r>
      <w:r w:rsidR="00014312" w:rsidRPr="0080490E">
        <w:rPr>
          <w:rFonts w:asciiTheme="minorHAnsi" w:hAnsiTheme="minorHAnsi" w:cstheme="minorHAnsi"/>
          <w:szCs w:val="24"/>
        </w:rPr>
        <w:t xml:space="preserve"> los </w:t>
      </w:r>
      <w:proofErr w:type="spellStart"/>
      <w:r w:rsidR="00014312" w:rsidRPr="0080490E">
        <w:rPr>
          <w:rFonts w:asciiTheme="minorHAnsi" w:hAnsiTheme="minorHAnsi" w:cstheme="minorHAnsi"/>
          <w:i/>
          <w:iCs/>
          <w:szCs w:val="24"/>
        </w:rPr>
        <w:t>smart</w:t>
      </w:r>
      <w:proofErr w:type="spellEnd"/>
      <w:r w:rsidR="00014312" w:rsidRPr="0080490E">
        <w:rPr>
          <w:rFonts w:asciiTheme="minorHAnsi" w:hAnsiTheme="minorHAnsi" w:cstheme="minorHAnsi"/>
          <w:i/>
          <w:iCs/>
          <w:szCs w:val="24"/>
        </w:rPr>
        <w:t xml:space="preserve"> </w:t>
      </w:r>
      <w:proofErr w:type="spellStart"/>
      <w:r w:rsidR="00014312" w:rsidRPr="0080490E">
        <w:rPr>
          <w:rFonts w:asciiTheme="minorHAnsi" w:hAnsiTheme="minorHAnsi" w:cstheme="minorHAnsi"/>
          <w:i/>
          <w:iCs/>
          <w:szCs w:val="24"/>
        </w:rPr>
        <w:t>contracts</w:t>
      </w:r>
      <w:proofErr w:type="spellEnd"/>
      <w:r w:rsidR="00CC27C3" w:rsidRPr="0080490E">
        <w:rPr>
          <w:rStyle w:val="Refdenotaalpie"/>
          <w:rFonts w:asciiTheme="minorHAnsi" w:hAnsiTheme="minorHAnsi" w:cstheme="minorHAnsi"/>
          <w:szCs w:val="24"/>
        </w:rPr>
        <w:footnoteReference w:id="5"/>
      </w:r>
      <w:r w:rsidR="00014312" w:rsidRPr="0080490E">
        <w:rPr>
          <w:rFonts w:asciiTheme="minorHAnsi" w:hAnsiTheme="minorHAnsi" w:cstheme="minorHAnsi"/>
          <w:szCs w:val="24"/>
        </w:rPr>
        <w:t xml:space="preserve">. </w:t>
      </w:r>
      <w:r w:rsidR="0082228D" w:rsidRPr="0080490E">
        <w:rPr>
          <w:rFonts w:asciiTheme="minorHAnsi" w:hAnsiTheme="minorHAnsi" w:cstheme="minorHAnsi"/>
          <w:szCs w:val="24"/>
        </w:rPr>
        <w:t>Esta evolución ha dado lugar a la tokenización</w:t>
      </w:r>
      <w:r w:rsidR="00CC27C3" w:rsidRPr="0080490E">
        <w:rPr>
          <w:rFonts w:asciiTheme="minorHAnsi" w:hAnsiTheme="minorHAnsi" w:cstheme="minorHAnsi"/>
          <w:szCs w:val="24"/>
        </w:rPr>
        <w:t xml:space="preserve"> que </w:t>
      </w:r>
      <w:r w:rsidR="00416386" w:rsidRPr="0080490E">
        <w:rPr>
          <w:rFonts w:asciiTheme="minorHAnsi" w:hAnsiTheme="minorHAnsi" w:cstheme="minorHAnsi"/>
          <w:szCs w:val="24"/>
        </w:rPr>
        <w:t>supone</w:t>
      </w:r>
      <w:r w:rsidR="00014312" w:rsidRPr="0080490E">
        <w:rPr>
          <w:rFonts w:asciiTheme="minorHAnsi" w:hAnsiTheme="minorHAnsi" w:cstheme="minorHAnsi"/>
          <w:szCs w:val="24"/>
        </w:rPr>
        <w:t xml:space="preserve"> la representación de activos en una cadena de bloques</w:t>
      </w:r>
      <w:r w:rsidR="003940FE" w:rsidRPr="0080490E">
        <w:rPr>
          <w:rFonts w:asciiTheme="minorHAnsi" w:hAnsiTheme="minorHAnsi" w:cstheme="minorHAnsi"/>
          <w:szCs w:val="24"/>
        </w:rPr>
        <w:t xml:space="preserve"> </w:t>
      </w:r>
      <w:r w:rsidR="00CC27C3" w:rsidRPr="0080490E">
        <w:rPr>
          <w:rFonts w:asciiTheme="minorHAnsi" w:hAnsiTheme="minorHAnsi" w:cstheme="minorHAnsi"/>
          <w:szCs w:val="24"/>
        </w:rPr>
        <w:t xml:space="preserve">por medio de </w:t>
      </w:r>
      <w:r w:rsidR="00416386" w:rsidRPr="0080490E">
        <w:rPr>
          <w:rFonts w:asciiTheme="minorHAnsi" w:hAnsiTheme="minorHAnsi" w:cstheme="minorHAnsi"/>
          <w:szCs w:val="24"/>
        </w:rPr>
        <w:t xml:space="preserve">fichas digitales o </w:t>
      </w:r>
      <w:r w:rsidR="008B5504" w:rsidRPr="0080490E">
        <w:rPr>
          <w:rFonts w:asciiTheme="minorHAnsi" w:hAnsiTheme="minorHAnsi" w:cstheme="minorHAnsi"/>
          <w:szCs w:val="24"/>
        </w:rPr>
        <w:t>“</w:t>
      </w:r>
      <w:r w:rsidR="00CC27C3" w:rsidRPr="0080490E">
        <w:rPr>
          <w:rFonts w:asciiTheme="minorHAnsi" w:hAnsiTheme="minorHAnsi" w:cstheme="minorHAnsi"/>
          <w:szCs w:val="24"/>
        </w:rPr>
        <w:t>tokens</w:t>
      </w:r>
      <w:r w:rsidR="008B5504" w:rsidRPr="0080490E">
        <w:rPr>
          <w:rFonts w:asciiTheme="minorHAnsi" w:hAnsiTheme="minorHAnsi" w:cstheme="minorHAnsi"/>
          <w:szCs w:val="24"/>
        </w:rPr>
        <w:t>”</w:t>
      </w:r>
      <w:r w:rsidR="00CC27C3" w:rsidRPr="0080490E">
        <w:rPr>
          <w:rFonts w:asciiTheme="minorHAnsi" w:hAnsiTheme="minorHAnsi" w:cstheme="minorHAnsi"/>
          <w:szCs w:val="24"/>
        </w:rPr>
        <w:t xml:space="preserve"> </w:t>
      </w:r>
      <w:r w:rsidR="003940FE" w:rsidRPr="0080490E">
        <w:rPr>
          <w:rFonts w:asciiTheme="minorHAnsi" w:hAnsiTheme="minorHAnsi" w:cstheme="minorHAnsi"/>
          <w:szCs w:val="24"/>
        </w:rPr>
        <w:t xml:space="preserve">que son creados, transferidos y gestionados a través de </w:t>
      </w:r>
      <w:proofErr w:type="spellStart"/>
      <w:r w:rsidR="003940FE" w:rsidRPr="0080490E">
        <w:rPr>
          <w:rFonts w:asciiTheme="minorHAnsi" w:hAnsiTheme="minorHAnsi" w:cstheme="minorHAnsi"/>
          <w:i/>
          <w:iCs/>
          <w:szCs w:val="24"/>
        </w:rPr>
        <w:t>smart</w:t>
      </w:r>
      <w:proofErr w:type="spellEnd"/>
      <w:r w:rsidR="003940FE" w:rsidRPr="0080490E">
        <w:rPr>
          <w:rFonts w:asciiTheme="minorHAnsi" w:hAnsiTheme="minorHAnsi" w:cstheme="minorHAnsi"/>
          <w:i/>
          <w:iCs/>
          <w:szCs w:val="24"/>
        </w:rPr>
        <w:t xml:space="preserve"> </w:t>
      </w:r>
      <w:proofErr w:type="spellStart"/>
      <w:r w:rsidR="003940FE" w:rsidRPr="0080490E">
        <w:rPr>
          <w:rFonts w:asciiTheme="minorHAnsi" w:hAnsiTheme="minorHAnsi" w:cstheme="minorHAnsi"/>
          <w:i/>
          <w:iCs/>
          <w:szCs w:val="24"/>
        </w:rPr>
        <w:t>contracts</w:t>
      </w:r>
      <w:proofErr w:type="spellEnd"/>
      <w:r w:rsidR="003940FE" w:rsidRPr="0080490E">
        <w:rPr>
          <w:rFonts w:asciiTheme="minorHAnsi" w:hAnsiTheme="minorHAnsi" w:cstheme="minorHAnsi"/>
          <w:szCs w:val="24"/>
        </w:rPr>
        <w:t xml:space="preserve"> </w:t>
      </w:r>
      <w:r w:rsidR="005F5D69" w:rsidRPr="0080490E">
        <w:rPr>
          <w:rFonts w:asciiTheme="minorHAnsi" w:hAnsiTheme="minorHAnsi" w:cstheme="minorHAnsi"/>
          <w:szCs w:val="24"/>
        </w:rPr>
        <w:t xml:space="preserve">en los </w:t>
      </w:r>
      <w:r w:rsidR="003940FE" w:rsidRPr="0080490E">
        <w:rPr>
          <w:rFonts w:asciiTheme="minorHAnsi" w:hAnsiTheme="minorHAnsi" w:cstheme="minorHAnsi"/>
          <w:szCs w:val="24"/>
        </w:rPr>
        <w:t xml:space="preserve">que </w:t>
      </w:r>
      <w:r w:rsidR="005F5D69" w:rsidRPr="0080490E">
        <w:rPr>
          <w:rFonts w:asciiTheme="minorHAnsi" w:hAnsiTheme="minorHAnsi" w:cstheme="minorHAnsi"/>
          <w:szCs w:val="24"/>
        </w:rPr>
        <w:t xml:space="preserve">se </w:t>
      </w:r>
      <w:r w:rsidR="00014312" w:rsidRPr="0080490E">
        <w:rPr>
          <w:rFonts w:asciiTheme="minorHAnsi" w:hAnsiTheme="minorHAnsi" w:cstheme="minorHAnsi"/>
          <w:szCs w:val="24"/>
        </w:rPr>
        <w:t>establecen</w:t>
      </w:r>
      <w:r w:rsidR="005F5D69" w:rsidRPr="0080490E">
        <w:rPr>
          <w:rFonts w:asciiTheme="minorHAnsi" w:hAnsiTheme="minorHAnsi" w:cstheme="minorHAnsi"/>
          <w:szCs w:val="24"/>
        </w:rPr>
        <w:t xml:space="preserve"> </w:t>
      </w:r>
      <w:r w:rsidR="003940FE" w:rsidRPr="0080490E">
        <w:rPr>
          <w:rFonts w:asciiTheme="minorHAnsi" w:hAnsiTheme="minorHAnsi" w:cstheme="minorHAnsi"/>
          <w:szCs w:val="24"/>
        </w:rPr>
        <w:t>sus</w:t>
      </w:r>
      <w:r w:rsidR="00014312" w:rsidRPr="0080490E">
        <w:rPr>
          <w:rFonts w:asciiTheme="minorHAnsi" w:hAnsiTheme="minorHAnsi" w:cstheme="minorHAnsi"/>
          <w:szCs w:val="24"/>
        </w:rPr>
        <w:t xml:space="preserve"> reglas y condiciones</w:t>
      </w:r>
      <w:r w:rsidR="003940FE" w:rsidRPr="0080490E">
        <w:rPr>
          <w:rFonts w:asciiTheme="minorHAnsi" w:hAnsiTheme="minorHAnsi" w:cstheme="minorHAnsi"/>
          <w:szCs w:val="24"/>
        </w:rPr>
        <w:t xml:space="preserve"> de operación</w:t>
      </w:r>
      <w:r w:rsidR="00014312" w:rsidRPr="0080490E">
        <w:rPr>
          <w:rFonts w:asciiTheme="minorHAnsi" w:hAnsiTheme="minorHAnsi" w:cstheme="minorHAnsi"/>
          <w:szCs w:val="24"/>
        </w:rPr>
        <w:t>.</w:t>
      </w:r>
      <w:r w:rsidR="00B2559F" w:rsidRPr="0080490E">
        <w:rPr>
          <w:rFonts w:asciiTheme="minorHAnsi" w:hAnsiTheme="minorHAnsi" w:cstheme="minorHAnsi"/>
          <w:szCs w:val="24"/>
        </w:rPr>
        <w:t xml:space="preserve"> </w:t>
      </w:r>
      <w:r w:rsidRPr="0080490E">
        <w:rPr>
          <w:rFonts w:asciiTheme="minorHAnsi" w:hAnsiTheme="minorHAnsi" w:cstheme="minorHAnsi"/>
          <w:szCs w:val="24"/>
        </w:rPr>
        <w:t>En el ecosistema tecnológico</w:t>
      </w:r>
      <w:r w:rsidR="00E7086C" w:rsidRPr="0080490E">
        <w:rPr>
          <w:rFonts w:asciiTheme="minorHAnsi" w:hAnsiTheme="minorHAnsi" w:cstheme="minorHAnsi"/>
          <w:szCs w:val="24"/>
        </w:rPr>
        <w:t>,</w:t>
      </w:r>
      <w:r w:rsidRPr="0080490E">
        <w:rPr>
          <w:rFonts w:asciiTheme="minorHAnsi" w:hAnsiTheme="minorHAnsi" w:cstheme="minorHAnsi"/>
          <w:szCs w:val="24"/>
        </w:rPr>
        <w:t xml:space="preserve"> un token es la representación digital de un activo o un bien existente </w:t>
      </w:r>
      <w:r w:rsidR="00AB6BB5" w:rsidRPr="0080490E">
        <w:rPr>
          <w:rFonts w:asciiTheme="minorHAnsi" w:hAnsiTheme="minorHAnsi" w:cstheme="minorHAnsi"/>
          <w:szCs w:val="24"/>
        </w:rPr>
        <w:t>a través</w:t>
      </w:r>
      <w:r w:rsidRPr="0080490E">
        <w:rPr>
          <w:rFonts w:asciiTheme="minorHAnsi" w:hAnsiTheme="minorHAnsi" w:cstheme="minorHAnsi"/>
          <w:szCs w:val="24"/>
        </w:rPr>
        <w:t xml:space="preserve"> </w:t>
      </w:r>
      <w:r w:rsidRPr="0080490E">
        <w:rPr>
          <w:rFonts w:asciiTheme="minorHAnsi" w:eastAsia="Garamond" w:hAnsiTheme="minorHAnsi" w:cstheme="minorHAnsi"/>
          <w:szCs w:val="24"/>
          <w:lang w:eastAsia="es-ES"/>
        </w:rPr>
        <w:t>de</w:t>
      </w:r>
      <w:r w:rsidRPr="0080490E">
        <w:rPr>
          <w:rFonts w:asciiTheme="minorHAnsi" w:hAnsiTheme="minorHAnsi" w:cstheme="minorHAnsi"/>
          <w:szCs w:val="24"/>
        </w:rPr>
        <w:t xml:space="preserve"> </w:t>
      </w:r>
      <w:r w:rsidR="00AB6BB5" w:rsidRPr="0080490E">
        <w:rPr>
          <w:rFonts w:asciiTheme="minorHAnsi" w:hAnsiTheme="minorHAnsi" w:cstheme="minorHAnsi"/>
          <w:szCs w:val="24"/>
        </w:rPr>
        <w:t xml:space="preserve">un </w:t>
      </w:r>
      <w:r w:rsidRPr="0080490E">
        <w:rPr>
          <w:rFonts w:asciiTheme="minorHAnsi" w:hAnsiTheme="minorHAnsi" w:cstheme="minorHAnsi"/>
          <w:szCs w:val="24"/>
        </w:rPr>
        <w:t xml:space="preserve">asiento electrónico </w:t>
      </w:r>
      <w:r w:rsidR="00E7086C" w:rsidRPr="0080490E">
        <w:rPr>
          <w:rFonts w:asciiTheme="minorHAnsi" w:hAnsiTheme="minorHAnsi" w:cstheme="minorHAnsi"/>
          <w:szCs w:val="24"/>
        </w:rPr>
        <w:t>practicado</w:t>
      </w:r>
      <w:r w:rsidR="00F66110" w:rsidRPr="0080490E">
        <w:rPr>
          <w:rFonts w:asciiTheme="minorHAnsi" w:hAnsiTheme="minorHAnsi" w:cstheme="minorHAnsi"/>
          <w:szCs w:val="24"/>
        </w:rPr>
        <w:t xml:space="preserve"> </w:t>
      </w:r>
      <w:r w:rsidRPr="0080490E">
        <w:rPr>
          <w:rFonts w:asciiTheme="minorHAnsi" w:hAnsiTheme="minorHAnsi" w:cstheme="minorHAnsi"/>
          <w:szCs w:val="24"/>
        </w:rPr>
        <w:t xml:space="preserve">en una base de datos </w:t>
      </w:r>
      <w:r w:rsidR="00F66110" w:rsidRPr="0080490E">
        <w:rPr>
          <w:rFonts w:asciiTheme="minorHAnsi" w:hAnsiTheme="minorHAnsi" w:cstheme="minorHAnsi"/>
          <w:szCs w:val="24"/>
        </w:rPr>
        <w:t xml:space="preserve">o registro </w:t>
      </w:r>
      <w:r w:rsidR="00E6083B" w:rsidRPr="0080490E">
        <w:rPr>
          <w:rFonts w:asciiTheme="minorHAnsi" w:hAnsiTheme="minorHAnsi" w:cstheme="minorHAnsi"/>
          <w:szCs w:val="24"/>
        </w:rPr>
        <w:t xml:space="preserve">distribuido </w:t>
      </w:r>
      <w:r w:rsidRPr="0080490E">
        <w:rPr>
          <w:rFonts w:asciiTheme="minorHAnsi" w:hAnsiTheme="minorHAnsi" w:cstheme="minorHAnsi"/>
          <w:szCs w:val="24"/>
        </w:rPr>
        <w:t>gestionad</w:t>
      </w:r>
      <w:r w:rsidR="00F66110" w:rsidRPr="0080490E">
        <w:rPr>
          <w:rFonts w:asciiTheme="minorHAnsi" w:hAnsiTheme="minorHAnsi" w:cstheme="minorHAnsi"/>
          <w:szCs w:val="24"/>
        </w:rPr>
        <w:t xml:space="preserve">o </w:t>
      </w:r>
      <w:r w:rsidRPr="0080490E">
        <w:rPr>
          <w:rFonts w:asciiTheme="minorHAnsi" w:hAnsiTheme="minorHAnsi" w:cstheme="minorHAnsi"/>
          <w:szCs w:val="24"/>
        </w:rPr>
        <w:t xml:space="preserve">con tecnología blockchain </w:t>
      </w:r>
      <w:r w:rsidR="00E6083B" w:rsidRPr="0080490E">
        <w:rPr>
          <w:rFonts w:asciiTheme="minorHAnsi" w:hAnsiTheme="minorHAnsi" w:cstheme="minorHAnsi"/>
          <w:szCs w:val="24"/>
        </w:rPr>
        <w:t xml:space="preserve">o similar </w:t>
      </w:r>
      <w:r w:rsidRPr="0080490E">
        <w:rPr>
          <w:rFonts w:asciiTheme="minorHAnsi" w:hAnsiTheme="minorHAnsi" w:cstheme="minorHAnsi"/>
          <w:szCs w:val="24"/>
        </w:rPr>
        <w:t>en la que se recoge su titularidad</w:t>
      </w:r>
      <w:r w:rsidRPr="0080490E">
        <w:rPr>
          <w:rFonts w:asciiTheme="minorHAnsi" w:hAnsiTheme="minorHAnsi" w:cstheme="minorHAnsi"/>
          <w:szCs w:val="24"/>
          <w:vertAlign w:val="superscript"/>
        </w:rPr>
        <w:footnoteReference w:id="6"/>
      </w:r>
      <w:r w:rsidR="00FA71BA" w:rsidRPr="0080490E">
        <w:rPr>
          <w:rFonts w:asciiTheme="minorHAnsi" w:hAnsiTheme="minorHAnsi" w:cstheme="minorHAnsi"/>
          <w:szCs w:val="24"/>
        </w:rPr>
        <w:t>.</w:t>
      </w:r>
      <w:r w:rsidR="00BD41AE" w:rsidRPr="0080490E">
        <w:rPr>
          <w:rFonts w:asciiTheme="minorHAnsi" w:hAnsiTheme="minorHAnsi" w:cstheme="minorHAnsi"/>
          <w:szCs w:val="24"/>
        </w:rPr>
        <w:t xml:space="preserve"> </w:t>
      </w:r>
      <w:r w:rsidR="00E7086C" w:rsidRPr="0080490E">
        <w:rPr>
          <w:rFonts w:asciiTheme="minorHAnsi" w:hAnsiTheme="minorHAnsi" w:cstheme="minorHAnsi"/>
          <w:szCs w:val="24"/>
          <w:lang w:eastAsia="es-ES_tradnl"/>
        </w:rPr>
        <w:t xml:space="preserve">Toda vez que </w:t>
      </w:r>
      <w:r w:rsidR="00BD41AE" w:rsidRPr="0080490E">
        <w:rPr>
          <w:rFonts w:asciiTheme="minorHAnsi" w:hAnsiTheme="minorHAnsi" w:cstheme="minorHAnsi"/>
          <w:szCs w:val="24"/>
          <w:lang w:eastAsia="es-ES_tradnl"/>
        </w:rPr>
        <w:t xml:space="preserve">los tokens admiten </w:t>
      </w:r>
      <w:r w:rsidR="00B8481A" w:rsidRPr="0080490E">
        <w:rPr>
          <w:rFonts w:asciiTheme="minorHAnsi" w:hAnsiTheme="minorHAnsi" w:cstheme="minorHAnsi"/>
          <w:szCs w:val="24"/>
          <w:lang w:eastAsia="es-ES_tradnl"/>
        </w:rPr>
        <w:t>distintas</w:t>
      </w:r>
      <w:r w:rsidR="00BD41AE" w:rsidRPr="0080490E">
        <w:rPr>
          <w:rFonts w:asciiTheme="minorHAnsi" w:hAnsiTheme="minorHAnsi" w:cstheme="minorHAnsi"/>
          <w:szCs w:val="24"/>
          <w:lang w:eastAsia="es-ES_tradnl"/>
        </w:rPr>
        <w:t xml:space="preserve"> capas en su interior</w:t>
      </w:r>
      <w:r w:rsidR="00E7086C" w:rsidRPr="0080490E">
        <w:rPr>
          <w:rFonts w:asciiTheme="minorHAnsi" w:hAnsiTheme="minorHAnsi" w:cstheme="minorHAnsi"/>
          <w:szCs w:val="24"/>
          <w:lang w:eastAsia="es-ES_tradnl"/>
        </w:rPr>
        <w:t xml:space="preserve"> </w:t>
      </w:r>
      <w:r w:rsidR="00BD41AE" w:rsidRPr="0080490E">
        <w:rPr>
          <w:rFonts w:asciiTheme="minorHAnsi" w:hAnsiTheme="minorHAnsi" w:cstheme="minorHAnsi"/>
          <w:szCs w:val="24"/>
          <w:lang w:eastAsia="es-ES_tradnl"/>
        </w:rPr>
        <w:t xml:space="preserve">quien los diseña decide qué </w:t>
      </w:r>
      <w:r w:rsidR="00F66110" w:rsidRPr="0080490E">
        <w:rPr>
          <w:rFonts w:asciiTheme="minorHAnsi" w:hAnsiTheme="minorHAnsi" w:cstheme="minorHAnsi"/>
          <w:szCs w:val="24"/>
          <w:lang w:eastAsia="es-ES_tradnl"/>
        </w:rPr>
        <w:t xml:space="preserve">se </w:t>
      </w:r>
      <w:r w:rsidR="00BD41AE" w:rsidRPr="0080490E">
        <w:rPr>
          <w:rFonts w:asciiTheme="minorHAnsi" w:hAnsiTheme="minorHAnsi" w:cstheme="minorHAnsi"/>
          <w:szCs w:val="24"/>
          <w:lang w:eastAsia="es-ES_tradnl"/>
        </w:rPr>
        <w:t xml:space="preserve">representa o simboliza </w:t>
      </w:r>
      <w:r w:rsidR="00E25285" w:rsidRPr="0080490E">
        <w:rPr>
          <w:rFonts w:asciiTheme="minorHAnsi" w:hAnsiTheme="minorHAnsi" w:cstheme="minorHAnsi"/>
          <w:szCs w:val="24"/>
          <w:lang w:eastAsia="es-ES_tradnl"/>
        </w:rPr>
        <w:t>por medio del</w:t>
      </w:r>
      <w:r w:rsidR="00BD41AE" w:rsidRPr="0080490E">
        <w:rPr>
          <w:rFonts w:asciiTheme="minorHAnsi" w:hAnsiTheme="minorHAnsi" w:cstheme="minorHAnsi"/>
          <w:szCs w:val="24"/>
          <w:lang w:eastAsia="es-ES_tradnl"/>
        </w:rPr>
        <w:t xml:space="preserve"> token</w:t>
      </w:r>
      <w:r w:rsidR="00BD41AE" w:rsidRPr="0080490E">
        <w:rPr>
          <w:rStyle w:val="Refdenotaalpie"/>
          <w:rFonts w:asciiTheme="minorHAnsi" w:hAnsiTheme="minorHAnsi" w:cstheme="minorHAnsi"/>
          <w:szCs w:val="24"/>
          <w:lang w:eastAsia="es-ES_tradnl"/>
        </w:rPr>
        <w:footnoteReference w:id="7"/>
      </w:r>
      <w:r w:rsidR="00BD41AE" w:rsidRPr="0080490E">
        <w:rPr>
          <w:rFonts w:asciiTheme="minorHAnsi" w:hAnsiTheme="minorHAnsi" w:cstheme="minorHAnsi"/>
          <w:szCs w:val="24"/>
          <w:lang w:eastAsia="es-ES_tradnl"/>
        </w:rPr>
        <w:t>.</w:t>
      </w:r>
    </w:p>
    <w:p w14:paraId="4673AE86" w14:textId="4E9F7473" w:rsidR="00217757" w:rsidRPr="0080490E" w:rsidRDefault="00E25285"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E</w:t>
      </w:r>
      <w:r w:rsidR="00794A00" w:rsidRPr="0080490E">
        <w:rPr>
          <w:rFonts w:asciiTheme="minorHAnsi" w:hAnsiTheme="minorHAnsi" w:cstheme="minorHAnsi"/>
          <w:szCs w:val="24"/>
        </w:rPr>
        <w:t xml:space="preserve">l </w:t>
      </w:r>
      <w:r w:rsidR="00C96940" w:rsidRPr="0080490E">
        <w:rPr>
          <w:rFonts w:asciiTheme="minorHAnsi" w:hAnsiTheme="minorHAnsi" w:cstheme="minorHAnsi"/>
          <w:szCs w:val="24"/>
        </w:rPr>
        <w:t>Reglamento (UE) 2023/1114 del Parlamento Europeo y del Consejo, de 31 de mayo de 2023, relativo a los mercados de criptoactivos (MiCA, en adelante)</w:t>
      </w:r>
      <w:r w:rsidR="00B8481A" w:rsidRPr="0080490E">
        <w:rPr>
          <w:rFonts w:asciiTheme="minorHAnsi" w:hAnsiTheme="minorHAnsi" w:cstheme="minorHAnsi"/>
          <w:szCs w:val="24"/>
        </w:rPr>
        <w:t xml:space="preserve"> </w:t>
      </w:r>
      <w:r w:rsidR="00794A00" w:rsidRPr="0080490E">
        <w:rPr>
          <w:rFonts w:asciiTheme="minorHAnsi" w:hAnsiTheme="minorHAnsi" w:cstheme="minorHAnsi"/>
          <w:szCs w:val="24"/>
        </w:rPr>
        <w:t>destaca la preminente función representativa de los tokens. Conforme al artículo 3.1.</w:t>
      </w:r>
      <w:r w:rsidR="00D14310" w:rsidRPr="0080490E">
        <w:rPr>
          <w:rFonts w:asciiTheme="minorHAnsi" w:hAnsiTheme="minorHAnsi" w:cstheme="minorHAnsi"/>
          <w:szCs w:val="24"/>
        </w:rPr>
        <w:t>5</w:t>
      </w:r>
      <w:r w:rsidR="00794A00" w:rsidRPr="0080490E">
        <w:rPr>
          <w:rFonts w:asciiTheme="minorHAnsi" w:hAnsiTheme="minorHAnsi" w:cstheme="minorHAnsi"/>
          <w:szCs w:val="24"/>
        </w:rPr>
        <w:t xml:space="preserve"> MiCA un criptoactivo es «una representación digital de valor o derechos que puede transferirse y almacenarse electrónicamente, mediante la tecnología de registro descentralizado o una tecnología similar».</w:t>
      </w:r>
      <w:r w:rsidR="005D2D13" w:rsidRPr="0080490E">
        <w:rPr>
          <w:rFonts w:asciiTheme="minorHAnsi" w:hAnsiTheme="minorHAnsi" w:cstheme="minorHAnsi"/>
          <w:szCs w:val="24"/>
        </w:rPr>
        <w:t xml:space="preserve"> A pesar de esta </w:t>
      </w:r>
      <w:r w:rsidR="00536CB4" w:rsidRPr="0080490E">
        <w:rPr>
          <w:rFonts w:asciiTheme="minorHAnsi" w:hAnsiTheme="minorHAnsi" w:cstheme="minorHAnsi"/>
          <w:szCs w:val="24"/>
        </w:rPr>
        <w:t xml:space="preserve">amplia </w:t>
      </w:r>
      <w:r w:rsidR="005D2D13" w:rsidRPr="0080490E">
        <w:rPr>
          <w:rFonts w:asciiTheme="minorHAnsi" w:hAnsiTheme="minorHAnsi" w:cstheme="minorHAnsi"/>
          <w:szCs w:val="24"/>
        </w:rPr>
        <w:t xml:space="preserve">definición, la regulación de MiCA no abarca todos los criptoactivos, pues excluye los que tengan naturaleza </w:t>
      </w:r>
      <w:r w:rsidR="00B2559F" w:rsidRPr="0080490E">
        <w:rPr>
          <w:rFonts w:asciiTheme="minorHAnsi" w:hAnsiTheme="minorHAnsi" w:cstheme="minorHAnsi"/>
          <w:szCs w:val="24"/>
        </w:rPr>
        <w:t xml:space="preserve">de </w:t>
      </w:r>
      <w:r w:rsidR="005D2D13" w:rsidRPr="0080490E">
        <w:rPr>
          <w:rFonts w:asciiTheme="minorHAnsi" w:hAnsiTheme="minorHAnsi" w:cstheme="minorHAnsi"/>
          <w:szCs w:val="24"/>
        </w:rPr>
        <w:t>instrumento financiero, dinero electrónico</w:t>
      </w:r>
      <w:r w:rsidR="00EB3207" w:rsidRPr="0080490E">
        <w:rPr>
          <w:rFonts w:asciiTheme="minorHAnsi" w:hAnsiTheme="minorHAnsi" w:cstheme="minorHAnsi"/>
          <w:szCs w:val="24"/>
        </w:rPr>
        <w:t xml:space="preserve"> oficial</w:t>
      </w:r>
      <w:r w:rsidR="00000F13" w:rsidRPr="0080490E">
        <w:rPr>
          <w:rFonts w:asciiTheme="minorHAnsi" w:hAnsiTheme="minorHAnsi" w:cstheme="minorHAnsi"/>
          <w:szCs w:val="24"/>
        </w:rPr>
        <w:t>,</w:t>
      </w:r>
      <w:r w:rsidR="005D2D13" w:rsidRPr="0080490E">
        <w:rPr>
          <w:rFonts w:asciiTheme="minorHAnsi" w:hAnsiTheme="minorHAnsi" w:cstheme="minorHAnsi"/>
          <w:szCs w:val="24"/>
        </w:rPr>
        <w:t xml:space="preserve"> depósitos</w:t>
      </w:r>
      <w:r w:rsidR="00000F13" w:rsidRPr="0080490E">
        <w:rPr>
          <w:rFonts w:asciiTheme="minorHAnsi" w:hAnsiTheme="minorHAnsi" w:cstheme="minorHAnsi"/>
          <w:szCs w:val="24"/>
        </w:rPr>
        <w:t>, depósitos estructurados y titulizaciones</w:t>
      </w:r>
      <w:r w:rsidR="005D2D13" w:rsidRPr="0080490E">
        <w:rPr>
          <w:rFonts w:asciiTheme="minorHAnsi" w:hAnsiTheme="minorHAnsi" w:cstheme="minorHAnsi"/>
          <w:szCs w:val="24"/>
        </w:rPr>
        <w:t>.</w:t>
      </w:r>
      <w:r w:rsidR="00EB0298" w:rsidRPr="0080490E">
        <w:rPr>
          <w:rFonts w:asciiTheme="minorHAnsi" w:hAnsiTheme="minorHAnsi" w:cstheme="minorHAnsi"/>
          <w:szCs w:val="24"/>
        </w:rPr>
        <w:t xml:space="preserve"> También quedan al margen los tokens no fungibles </w:t>
      </w:r>
      <w:r w:rsidR="00AE00FA" w:rsidRPr="0080490E">
        <w:rPr>
          <w:rFonts w:asciiTheme="minorHAnsi" w:hAnsiTheme="minorHAnsi" w:cstheme="minorHAnsi"/>
          <w:szCs w:val="24"/>
        </w:rPr>
        <w:t xml:space="preserve">y las criptomonedas </w:t>
      </w:r>
      <w:r w:rsidR="001E319A" w:rsidRPr="0080490E">
        <w:rPr>
          <w:rFonts w:asciiTheme="minorHAnsi" w:hAnsiTheme="minorHAnsi" w:cstheme="minorHAnsi"/>
          <w:szCs w:val="24"/>
        </w:rPr>
        <w:t xml:space="preserve">generadas de manera descentralizada </w:t>
      </w:r>
      <w:r w:rsidR="00C41811" w:rsidRPr="0080490E">
        <w:rPr>
          <w:rFonts w:asciiTheme="minorHAnsi" w:hAnsiTheme="minorHAnsi" w:cstheme="minorHAnsi"/>
          <w:szCs w:val="24"/>
        </w:rPr>
        <w:t>sin</w:t>
      </w:r>
      <w:r w:rsidR="001E319A" w:rsidRPr="0080490E">
        <w:rPr>
          <w:rFonts w:asciiTheme="minorHAnsi" w:hAnsiTheme="minorHAnsi" w:cstheme="minorHAnsi"/>
          <w:szCs w:val="24"/>
        </w:rPr>
        <w:t xml:space="preserve"> </w:t>
      </w:r>
      <w:r w:rsidR="00AE00FA" w:rsidRPr="0080490E">
        <w:rPr>
          <w:rFonts w:asciiTheme="minorHAnsi" w:hAnsiTheme="minorHAnsi" w:cstheme="minorHAnsi"/>
          <w:szCs w:val="24"/>
        </w:rPr>
        <w:t>respald</w:t>
      </w:r>
      <w:r w:rsidR="00C41811" w:rsidRPr="0080490E">
        <w:rPr>
          <w:rFonts w:asciiTheme="minorHAnsi" w:hAnsiTheme="minorHAnsi" w:cstheme="minorHAnsi"/>
          <w:szCs w:val="24"/>
        </w:rPr>
        <w:t>o de</w:t>
      </w:r>
      <w:r w:rsidR="001E319A" w:rsidRPr="0080490E">
        <w:rPr>
          <w:rFonts w:asciiTheme="minorHAnsi" w:hAnsiTheme="minorHAnsi" w:cstheme="minorHAnsi"/>
          <w:szCs w:val="24"/>
        </w:rPr>
        <w:t xml:space="preserve"> autoridades nacionales</w:t>
      </w:r>
      <w:r w:rsidR="00217757" w:rsidRPr="0080490E">
        <w:rPr>
          <w:rFonts w:asciiTheme="minorHAnsi" w:hAnsiTheme="minorHAnsi" w:cstheme="minorHAnsi"/>
          <w:szCs w:val="24"/>
        </w:rPr>
        <w:t>.</w:t>
      </w:r>
    </w:p>
    <w:p w14:paraId="299EF848" w14:textId="513D26AC" w:rsidR="00794A00" w:rsidRPr="0080490E" w:rsidRDefault="00EB0298"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lastRenderedPageBreak/>
        <w:t xml:space="preserve">A la vista de ello, MiCA </w:t>
      </w:r>
      <w:r w:rsidR="00D14310" w:rsidRPr="0080490E">
        <w:rPr>
          <w:rFonts w:asciiTheme="minorHAnsi" w:hAnsiTheme="minorHAnsi" w:cstheme="minorHAnsi"/>
          <w:szCs w:val="24"/>
        </w:rPr>
        <w:t>regula</w:t>
      </w:r>
      <w:r w:rsidR="00437F3D" w:rsidRPr="0080490E">
        <w:rPr>
          <w:rFonts w:asciiTheme="minorHAnsi" w:hAnsiTheme="minorHAnsi" w:cstheme="minorHAnsi"/>
          <w:szCs w:val="24"/>
        </w:rPr>
        <w:t xml:space="preserve"> </w:t>
      </w:r>
      <w:r w:rsidRPr="0080490E">
        <w:rPr>
          <w:rFonts w:asciiTheme="minorHAnsi" w:hAnsiTheme="minorHAnsi" w:cstheme="minorHAnsi"/>
          <w:szCs w:val="24"/>
        </w:rPr>
        <w:t>la emisión y negociación</w:t>
      </w:r>
      <w:r w:rsidR="00EB3207" w:rsidRPr="0080490E">
        <w:rPr>
          <w:rFonts w:asciiTheme="minorHAnsi" w:hAnsiTheme="minorHAnsi" w:cstheme="minorHAnsi"/>
          <w:szCs w:val="24"/>
        </w:rPr>
        <w:t>, en primer término,</w:t>
      </w:r>
      <w:r w:rsidRPr="0080490E">
        <w:rPr>
          <w:rFonts w:asciiTheme="minorHAnsi" w:hAnsiTheme="minorHAnsi" w:cstheme="minorHAnsi"/>
          <w:szCs w:val="24"/>
        </w:rPr>
        <w:t xml:space="preserve"> de los denominados </w:t>
      </w:r>
      <w:r w:rsidR="00042CEF" w:rsidRPr="0080490E">
        <w:rPr>
          <w:rFonts w:asciiTheme="minorHAnsi" w:hAnsiTheme="minorHAnsi" w:cstheme="minorHAnsi"/>
          <w:szCs w:val="24"/>
        </w:rPr>
        <w:t xml:space="preserve">tokens de </w:t>
      </w:r>
      <w:r w:rsidR="00D84CB9" w:rsidRPr="0080490E">
        <w:rPr>
          <w:rFonts w:asciiTheme="minorHAnsi" w:hAnsiTheme="minorHAnsi" w:cstheme="minorHAnsi"/>
          <w:szCs w:val="24"/>
        </w:rPr>
        <w:t>servicio</w:t>
      </w:r>
      <w:r w:rsidR="00D14310" w:rsidRPr="0080490E">
        <w:rPr>
          <w:rFonts w:asciiTheme="minorHAnsi" w:hAnsiTheme="minorHAnsi" w:cstheme="minorHAnsi"/>
          <w:szCs w:val="24"/>
        </w:rPr>
        <w:t xml:space="preserve"> o ficha</w:t>
      </w:r>
      <w:r w:rsidR="00CE44A4" w:rsidRPr="0080490E">
        <w:rPr>
          <w:rFonts w:asciiTheme="minorHAnsi" w:hAnsiTheme="minorHAnsi" w:cstheme="minorHAnsi"/>
          <w:szCs w:val="24"/>
        </w:rPr>
        <w:t>s</w:t>
      </w:r>
      <w:r w:rsidR="00D14310" w:rsidRPr="0080490E">
        <w:rPr>
          <w:rFonts w:asciiTheme="minorHAnsi" w:hAnsiTheme="minorHAnsi" w:cstheme="minorHAnsi"/>
          <w:szCs w:val="24"/>
        </w:rPr>
        <w:t xml:space="preserve"> de consumo</w:t>
      </w:r>
      <w:r w:rsidR="00042CEF" w:rsidRPr="0080490E">
        <w:rPr>
          <w:rFonts w:asciiTheme="minorHAnsi" w:hAnsiTheme="minorHAnsi" w:cstheme="minorHAnsi"/>
          <w:szCs w:val="24"/>
        </w:rPr>
        <w:t xml:space="preserve"> (</w:t>
      </w:r>
      <w:proofErr w:type="spellStart"/>
      <w:r w:rsidRPr="0080490E">
        <w:rPr>
          <w:rFonts w:asciiTheme="minorHAnsi" w:hAnsiTheme="minorHAnsi" w:cstheme="minorHAnsi"/>
          <w:i/>
          <w:szCs w:val="24"/>
        </w:rPr>
        <w:t>utility</w:t>
      </w:r>
      <w:proofErr w:type="spellEnd"/>
      <w:r w:rsidRPr="0080490E">
        <w:rPr>
          <w:rFonts w:asciiTheme="minorHAnsi" w:hAnsiTheme="minorHAnsi" w:cstheme="minorHAnsi"/>
          <w:i/>
          <w:szCs w:val="24"/>
        </w:rPr>
        <w:t xml:space="preserve"> tokens</w:t>
      </w:r>
      <w:r w:rsidR="00042CEF" w:rsidRPr="0080490E">
        <w:rPr>
          <w:rFonts w:asciiTheme="minorHAnsi" w:hAnsiTheme="minorHAnsi" w:cstheme="minorHAnsi"/>
          <w:szCs w:val="24"/>
        </w:rPr>
        <w:t>)</w:t>
      </w:r>
      <w:r w:rsidR="00D14310" w:rsidRPr="0080490E">
        <w:rPr>
          <w:rFonts w:asciiTheme="minorHAnsi" w:hAnsiTheme="minorHAnsi" w:cstheme="minorHAnsi"/>
          <w:szCs w:val="24"/>
        </w:rPr>
        <w:t xml:space="preserve"> que </w:t>
      </w:r>
      <w:r w:rsidR="00207414" w:rsidRPr="0080490E">
        <w:rPr>
          <w:rFonts w:asciiTheme="minorHAnsi" w:hAnsiTheme="minorHAnsi" w:cstheme="minorHAnsi"/>
          <w:szCs w:val="24"/>
        </w:rPr>
        <w:t xml:space="preserve">se emplean </w:t>
      </w:r>
      <w:r w:rsidR="00D14310" w:rsidRPr="0080490E">
        <w:rPr>
          <w:rFonts w:asciiTheme="minorHAnsi" w:hAnsiTheme="minorHAnsi" w:cstheme="minorHAnsi"/>
          <w:szCs w:val="24"/>
        </w:rPr>
        <w:t>para dar acceso a un bien o un servicio prestado por su emisor (art. 3.1.9 MiCA)</w:t>
      </w:r>
      <w:r w:rsidR="002975B6" w:rsidRPr="0080490E">
        <w:rPr>
          <w:rFonts w:asciiTheme="minorHAnsi" w:hAnsiTheme="minorHAnsi" w:cstheme="minorHAnsi"/>
          <w:szCs w:val="24"/>
        </w:rPr>
        <w:t>.</w:t>
      </w:r>
      <w:r w:rsidR="00EB3207" w:rsidRPr="0080490E">
        <w:rPr>
          <w:rFonts w:asciiTheme="minorHAnsi" w:hAnsiTheme="minorHAnsi" w:cstheme="minorHAnsi"/>
          <w:szCs w:val="24"/>
        </w:rPr>
        <w:t xml:space="preserve"> </w:t>
      </w:r>
      <w:r w:rsidR="002975B6" w:rsidRPr="0080490E">
        <w:rPr>
          <w:rFonts w:asciiTheme="minorHAnsi" w:hAnsiTheme="minorHAnsi" w:cstheme="minorHAnsi"/>
          <w:szCs w:val="24"/>
        </w:rPr>
        <w:t>E</w:t>
      </w:r>
      <w:r w:rsidR="00EB3207" w:rsidRPr="0080490E">
        <w:rPr>
          <w:rFonts w:asciiTheme="minorHAnsi" w:hAnsiTheme="minorHAnsi" w:cstheme="minorHAnsi"/>
          <w:szCs w:val="24"/>
        </w:rPr>
        <w:t xml:space="preserve">n segundo lugar, </w:t>
      </w:r>
      <w:r w:rsidRPr="0080490E">
        <w:rPr>
          <w:rFonts w:asciiTheme="minorHAnsi" w:hAnsiTheme="minorHAnsi" w:cstheme="minorHAnsi"/>
          <w:szCs w:val="24"/>
        </w:rPr>
        <w:t xml:space="preserve">las </w:t>
      </w:r>
      <w:r w:rsidR="00F12BFB" w:rsidRPr="0080490E">
        <w:rPr>
          <w:rFonts w:asciiTheme="minorHAnsi" w:hAnsiTheme="minorHAnsi" w:cstheme="minorHAnsi"/>
          <w:szCs w:val="24"/>
        </w:rPr>
        <w:t>fichas o tokens de dinero electrónico (</w:t>
      </w:r>
      <w:proofErr w:type="spellStart"/>
      <w:r w:rsidRPr="0080490E">
        <w:rPr>
          <w:rFonts w:asciiTheme="minorHAnsi" w:hAnsiTheme="minorHAnsi" w:cstheme="minorHAnsi"/>
          <w:i/>
          <w:szCs w:val="24"/>
        </w:rPr>
        <w:t>stablecoins</w:t>
      </w:r>
      <w:proofErr w:type="spellEnd"/>
      <w:r w:rsidR="00F12BFB" w:rsidRPr="0080490E">
        <w:rPr>
          <w:rFonts w:asciiTheme="minorHAnsi" w:hAnsiTheme="minorHAnsi" w:cstheme="minorHAnsi"/>
          <w:szCs w:val="24"/>
        </w:rPr>
        <w:t>)</w:t>
      </w:r>
      <w:r w:rsidRPr="0080490E">
        <w:rPr>
          <w:rFonts w:asciiTheme="minorHAnsi" w:hAnsiTheme="minorHAnsi" w:cstheme="minorHAnsi"/>
          <w:szCs w:val="24"/>
        </w:rPr>
        <w:t xml:space="preserve"> </w:t>
      </w:r>
      <w:r w:rsidR="00AE00FA" w:rsidRPr="0080490E">
        <w:rPr>
          <w:rFonts w:asciiTheme="minorHAnsi" w:hAnsiTheme="minorHAnsi" w:cstheme="minorHAnsi"/>
          <w:szCs w:val="24"/>
        </w:rPr>
        <w:t>destinad</w:t>
      </w:r>
      <w:r w:rsidR="00207414" w:rsidRPr="0080490E">
        <w:rPr>
          <w:rFonts w:asciiTheme="minorHAnsi" w:hAnsiTheme="minorHAnsi" w:cstheme="minorHAnsi"/>
          <w:szCs w:val="24"/>
        </w:rPr>
        <w:t>a</w:t>
      </w:r>
      <w:r w:rsidR="00AE00FA" w:rsidRPr="0080490E">
        <w:rPr>
          <w:rFonts w:asciiTheme="minorHAnsi" w:hAnsiTheme="minorHAnsi" w:cstheme="minorHAnsi"/>
          <w:szCs w:val="24"/>
        </w:rPr>
        <w:t xml:space="preserve">s a emplearse como </w:t>
      </w:r>
      <w:r w:rsidR="00AE00FA" w:rsidRPr="0080490E">
        <w:rPr>
          <w:rStyle w:val="Textoennegrita"/>
          <w:rFonts w:asciiTheme="minorHAnsi" w:hAnsiTheme="minorHAnsi" w:cstheme="minorHAnsi"/>
          <w:b w:val="0"/>
          <w:szCs w:val="24"/>
        </w:rPr>
        <w:t>medio de cambio</w:t>
      </w:r>
      <w:r w:rsidR="00AE00FA" w:rsidRPr="0080490E">
        <w:rPr>
          <w:rFonts w:asciiTheme="minorHAnsi" w:hAnsiTheme="minorHAnsi" w:cstheme="minorHAnsi"/>
          <w:szCs w:val="24"/>
        </w:rPr>
        <w:t xml:space="preserve"> y que para </w:t>
      </w:r>
      <w:r w:rsidR="002975B6" w:rsidRPr="0080490E">
        <w:rPr>
          <w:rFonts w:asciiTheme="minorHAnsi" w:hAnsiTheme="minorHAnsi" w:cstheme="minorHAnsi"/>
          <w:szCs w:val="24"/>
        </w:rPr>
        <w:t xml:space="preserve">prevenir fluctuaciones de su valor </w:t>
      </w:r>
      <w:r w:rsidR="00AE00FA" w:rsidRPr="0080490E">
        <w:rPr>
          <w:rFonts w:asciiTheme="minorHAnsi" w:hAnsiTheme="minorHAnsi" w:cstheme="minorHAnsi"/>
          <w:szCs w:val="24"/>
        </w:rPr>
        <w:t>se referencia</w:t>
      </w:r>
      <w:r w:rsidR="00207414" w:rsidRPr="0080490E">
        <w:rPr>
          <w:rFonts w:asciiTheme="minorHAnsi" w:hAnsiTheme="minorHAnsi" w:cstheme="minorHAnsi"/>
          <w:szCs w:val="24"/>
        </w:rPr>
        <w:t>n</w:t>
      </w:r>
      <w:r w:rsidR="007A04D3" w:rsidRPr="0080490E">
        <w:rPr>
          <w:rFonts w:asciiTheme="minorHAnsi" w:hAnsiTheme="minorHAnsi" w:cstheme="minorHAnsi"/>
          <w:szCs w:val="24"/>
        </w:rPr>
        <w:t xml:space="preserve"> o vincula</w:t>
      </w:r>
      <w:r w:rsidR="00207414" w:rsidRPr="0080490E">
        <w:rPr>
          <w:rFonts w:asciiTheme="minorHAnsi" w:hAnsiTheme="minorHAnsi" w:cstheme="minorHAnsi"/>
          <w:szCs w:val="24"/>
        </w:rPr>
        <w:t>n</w:t>
      </w:r>
      <w:r w:rsidR="00AE00FA" w:rsidRPr="0080490E">
        <w:rPr>
          <w:rFonts w:asciiTheme="minorHAnsi" w:hAnsiTheme="minorHAnsi" w:cstheme="minorHAnsi"/>
          <w:szCs w:val="24"/>
        </w:rPr>
        <w:t xml:space="preserve"> </w:t>
      </w:r>
      <w:r w:rsidR="00D14310" w:rsidRPr="0080490E">
        <w:rPr>
          <w:rFonts w:asciiTheme="minorHAnsi" w:hAnsiTheme="minorHAnsi" w:cstheme="minorHAnsi"/>
          <w:szCs w:val="24"/>
        </w:rPr>
        <w:t>a</w:t>
      </w:r>
      <w:r w:rsidR="007A04D3" w:rsidRPr="0080490E">
        <w:rPr>
          <w:rFonts w:asciiTheme="minorHAnsi" w:hAnsiTheme="minorHAnsi" w:cstheme="minorHAnsi"/>
          <w:szCs w:val="24"/>
        </w:rPr>
        <w:t xml:space="preserve">l valor </w:t>
      </w:r>
      <w:r w:rsidR="000E1A01" w:rsidRPr="0080490E">
        <w:rPr>
          <w:rFonts w:asciiTheme="minorHAnsi" w:hAnsiTheme="minorHAnsi" w:cstheme="minorHAnsi"/>
          <w:szCs w:val="24"/>
        </w:rPr>
        <w:t xml:space="preserve">de </w:t>
      </w:r>
      <w:r w:rsidR="00AE00FA" w:rsidRPr="0080490E">
        <w:rPr>
          <w:rFonts w:asciiTheme="minorHAnsi" w:hAnsiTheme="minorHAnsi" w:cstheme="minorHAnsi"/>
          <w:szCs w:val="24"/>
        </w:rPr>
        <w:t xml:space="preserve">una </w:t>
      </w:r>
      <w:r w:rsidR="00D14310" w:rsidRPr="0080490E">
        <w:rPr>
          <w:rFonts w:asciiTheme="minorHAnsi" w:hAnsiTheme="minorHAnsi" w:cstheme="minorHAnsi"/>
          <w:szCs w:val="24"/>
        </w:rPr>
        <w:t>moneda oficial (art. 3.1.7 MiCA)</w:t>
      </w:r>
      <w:r w:rsidR="00C64B82" w:rsidRPr="0080490E">
        <w:rPr>
          <w:rFonts w:asciiTheme="minorHAnsi" w:hAnsiTheme="minorHAnsi" w:cstheme="minorHAnsi"/>
          <w:szCs w:val="24"/>
        </w:rPr>
        <w:t>.</w:t>
      </w:r>
      <w:r w:rsidR="00AE00FA" w:rsidRPr="0080490E">
        <w:rPr>
          <w:rFonts w:asciiTheme="minorHAnsi" w:hAnsiTheme="minorHAnsi" w:cstheme="minorHAnsi"/>
          <w:szCs w:val="24"/>
        </w:rPr>
        <w:t xml:space="preserve"> </w:t>
      </w:r>
      <w:r w:rsidR="00C64B82" w:rsidRPr="0080490E">
        <w:rPr>
          <w:rFonts w:asciiTheme="minorHAnsi" w:hAnsiTheme="minorHAnsi" w:cstheme="minorHAnsi"/>
          <w:szCs w:val="24"/>
        </w:rPr>
        <w:t>E</w:t>
      </w:r>
      <w:r w:rsidR="00AE00FA" w:rsidRPr="0080490E">
        <w:rPr>
          <w:rFonts w:asciiTheme="minorHAnsi" w:hAnsiTheme="minorHAnsi" w:cstheme="minorHAnsi"/>
          <w:szCs w:val="24"/>
        </w:rPr>
        <w:t xml:space="preserve">n última instancia, los tokens referenciados a activos que, al igual que las </w:t>
      </w:r>
      <w:proofErr w:type="spellStart"/>
      <w:r w:rsidR="00AE00FA" w:rsidRPr="0080490E">
        <w:rPr>
          <w:rFonts w:asciiTheme="minorHAnsi" w:hAnsiTheme="minorHAnsi" w:cstheme="minorHAnsi"/>
          <w:i/>
          <w:szCs w:val="24"/>
        </w:rPr>
        <w:t>stablecoins</w:t>
      </w:r>
      <w:proofErr w:type="spellEnd"/>
      <w:r w:rsidR="00AE00FA" w:rsidRPr="0080490E">
        <w:rPr>
          <w:rFonts w:asciiTheme="minorHAnsi" w:hAnsiTheme="minorHAnsi" w:cstheme="minorHAnsi"/>
          <w:szCs w:val="24"/>
        </w:rPr>
        <w:t xml:space="preserve">, </w:t>
      </w:r>
      <w:r w:rsidR="00D14310" w:rsidRPr="0080490E">
        <w:rPr>
          <w:rFonts w:asciiTheme="minorHAnsi" w:hAnsiTheme="minorHAnsi" w:cstheme="minorHAnsi"/>
          <w:szCs w:val="24"/>
        </w:rPr>
        <w:t>pretenden mantener un valor estable para lo cual el criptoactivo se referencia a otro valor o derecho, o a una combinación de ambos, incluidas una o varias monedas oficiales (art. 3.1.</w:t>
      </w:r>
      <w:r w:rsidR="000C1CFA" w:rsidRPr="0080490E">
        <w:rPr>
          <w:rFonts w:asciiTheme="minorHAnsi" w:hAnsiTheme="minorHAnsi" w:cstheme="minorHAnsi"/>
          <w:szCs w:val="24"/>
        </w:rPr>
        <w:t>6 MiCA</w:t>
      </w:r>
      <w:r w:rsidR="00D14310" w:rsidRPr="0080490E">
        <w:rPr>
          <w:rFonts w:asciiTheme="minorHAnsi" w:hAnsiTheme="minorHAnsi" w:cstheme="minorHAnsi"/>
          <w:szCs w:val="24"/>
        </w:rPr>
        <w:t>)</w:t>
      </w:r>
      <w:r w:rsidR="002263C6" w:rsidRPr="0080490E">
        <w:rPr>
          <w:rFonts w:asciiTheme="minorHAnsi" w:hAnsiTheme="minorHAnsi" w:cstheme="minorHAnsi"/>
          <w:szCs w:val="24"/>
        </w:rPr>
        <w:t>.</w:t>
      </w:r>
      <w:r w:rsidR="00437F3D" w:rsidRPr="0080490E">
        <w:rPr>
          <w:rFonts w:asciiTheme="minorHAnsi" w:hAnsiTheme="minorHAnsi" w:cstheme="minorHAnsi"/>
          <w:szCs w:val="24"/>
        </w:rPr>
        <w:t xml:space="preserve"> Sin embargo, las amplias definiciones que ofrece MiCA de “criptoactivo” y de “oferta pública” determinan que su Título II </w:t>
      </w:r>
      <w:r w:rsidR="005065B0" w:rsidRPr="0080490E">
        <w:rPr>
          <w:rFonts w:asciiTheme="minorHAnsi" w:hAnsiTheme="minorHAnsi" w:cstheme="minorHAnsi"/>
          <w:szCs w:val="24"/>
        </w:rPr>
        <w:t xml:space="preserve">actúe como cláusula de cierre </w:t>
      </w:r>
      <w:r w:rsidR="00437F3D" w:rsidRPr="0080490E">
        <w:rPr>
          <w:rFonts w:asciiTheme="minorHAnsi" w:hAnsiTheme="minorHAnsi" w:cstheme="minorHAnsi"/>
          <w:szCs w:val="24"/>
        </w:rPr>
        <w:t>apli</w:t>
      </w:r>
      <w:r w:rsidR="005065B0" w:rsidRPr="0080490E">
        <w:rPr>
          <w:rFonts w:asciiTheme="minorHAnsi" w:hAnsiTheme="minorHAnsi" w:cstheme="minorHAnsi"/>
          <w:szCs w:val="24"/>
        </w:rPr>
        <w:t xml:space="preserve">cable </w:t>
      </w:r>
      <w:r w:rsidR="00437F3D" w:rsidRPr="0080490E">
        <w:rPr>
          <w:rFonts w:asciiTheme="minorHAnsi" w:hAnsiTheme="minorHAnsi" w:cstheme="minorHAnsi"/>
          <w:szCs w:val="24"/>
        </w:rPr>
        <w:t>a todos los criptoactivos</w:t>
      </w:r>
      <w:r w:rsidR="005065B0" w:rsidRPr="0080490E">
        <w:rPr>
          <w:rFonts w:asciiTheme="minorHAnsi" w:hAnsiTheme="minorHAnsi" w:cstheme="minorHAnsi"/>
          <w:szCs w:val="24"/>
        </w:rPr>
        <w:t>, independientemente de la realidad representada,</w:t>
      </w:r>
      <w:r w:rsidR="00437F3D" w:rsidRPr="0080490E">
        <w:rPr>
          <w:rFonts w:asciiTheme="minorHAnsi" w:hAnsiTheme="minorHAnsi" w:cstheme="minorHAnsi"/>
          <w:szCs w:val="24"/>
        </w:rPr>
        <w:t xml:space="preserve"> </w:t>
      </w:r>
      <w:r w:rsidR="00C85A6C" w:rsidRPr="0080490E">
        <w:rPr>
          <w:rFonts w:asciiTheme="minorHAnsi" w:hAnsiTheme="minorHAnsi" w:cstheme="minorHAnsi"/>
          <w:szCs w:val="24"/>
        </w:rPr>
        <w:t xml:space="preserve">siempre que no estén expresamente excluidos </w:t>
      </w:r>
      <w:r w:rsidR="00CF317C" w:rsidRPr="0080490E">
        <w:rPr>
          <w:rFonts w:asciiTheme="minorHAnsi" w:hAnsiTheme="minorHAnsi" w:cstheme="minorHAnsi"/>
          <w:szCs w:val="24"/>
        </w:rPr>
        <w:t>de M</w:t>
      </w:r>
      <w:r w:rsidR="009D317C" w:rsidRPr="0080490E">
        <w:rPr>
          <w:rFonts w:asciiTheme="minorHAnsi" w:hAnsiTheme="minorHAnsi" w:cstheme="minorHAnsi"/>
          <w:szCs w:val="24"/>
        </w:rPr>
        <w:t>i</w:t>
      </w:r>
      <w:r w:rsidR="00CF317C" w:rsidRPr="0080490E">
        <w:rPr>
          <w:rFonts w:asciiTheme="minorHAnsi" w:hAnsiTheme="minorHAnsi" w:cstheme="minorHAnsi"/>
          <w:szCs w:val="24"/>
        </w:rPr>
        <w:t xml:space="preserve">CA </w:t>
      </w:r>
      <w:r w:rsidR="00C85A6C" w:rsidRPr="0080490E">
        <w:rPr>
          <w:rFonts w:asciiTheme="minorHAnsi" w:hAnsiTheme="minorHAnsi" w:cstheme="minorHAnsi"/>
          <w:szCs w:val="24"/>
        </w:rPr>
        <w:t>y no sean fichas referenciadas a activos o fichas de dinero electrónico</w:t>
      </w:r>
      <w:r w:rsidR="00AB6BB5" w:rsidRPr="0080490E">
        <w:rPr>
          <w:rFonts w:asciiTheme="minorHAnsi" w:hAnsiTheme="minorHAnsi" w:cstheme="minorHAnsi"/>
          <w:szCs w:val="24"/>
        </w:rPr>
        <w:t xml:space="preserve"> que cuentan con un</w:t>
      </w:r>
      <w:r w:rsidR="008D4265" w:rsidRPr="0080490E">
        <w:rPr>
          <w:rFonts w:asciiTheme="minorHAnsi" w:hAnsiTheme="minorHAnsi" w:cstheme="minorHAnsi"/>
          <w:szCs w:val="24"/>
        </w:rPr>
        <w:t xml:space="preserve"> tratamiento</w:t>
      </w:r>
      <w:r w:rsidR="00AB6BB5" w:rsidRPr="0080490E">
        <w:rPr>
          <w:rFonts w:asciiTheme="minorHAnsi" w:hAnsiTheme="minorHAnsi" w:cstheme="minorHAnsi"/>
          <w:szCs w:val="24"/>
        </w:rPr>
        <w:t xml:space="preserve"> específic</w:t>
      </w:r>
      <w:r w:rsidR="008D4265" w:rsidRPr="0080490E">
        <w:rPr>
          <w:rFonts w:asciiTheme="minorHAnsi" w:hAnsiTheme="minorHAnsi" w:cstheme="minorHAnsi"/>
          <w:szCs w:val="24"/>
        </w:rPr>
        <w:t>o</w:t>
      </w:r>
      <w:r w:rsidR="00AB6BB5" w:rsidRPr="0080490E">
        <w:rPr>
          <w:rFonts w:asciiTheme="minorHAnsi" w:hAnsiTheme="minorHAnsi" w:cstheme="minorHAnsi"/>
          <w:szCs w:val="24"/>
        </w:rPr>
        <w:t xml:space="preserve"> en </w:t>
      </w:r>
      <w:r w:rsidR="002D3CEB" w:rsidRPr="0080490E">
        <w:rPr>
          <w:rFonts w:asciiTheme="minorHAnsi" w:hAnsiTheme="minorHAnsi" w:cstheme="minorHAnsi"/>
          <w:szCs w:val="24"/>
        </w:rPr>
        <w:t xml:space="preserve">los Títulos III y IV </w:t>
      </w:r>
      <w:r w:rsidR="00AB6BB5" w:rsidRPr="0080490E">
        <w:rPr>
          <w:rFonts w:asciiTheme="minorHAnsi" w:hAnsiTheme="minorHAnsi" w:cstheme="minorHAnsi"/>
          <w:szCs w:val="24"/>
        </w:rPr>
        <w:t>MiCA</w:t>
      </w:r>
      <w:r w:rsidR="00437F3D" w:rsidRPr="0080490E">
        <w:rPr>
          <w:rFonts w:asciiTheme="minorHAnsi" w:hAnsiTheme="minorHAnsi" w:cstheme="minorHAnsi"/>
          <w:szCs w:val="24"/>
        </w:rPr>
        <w:t>.</w:t>
      </w:r>
    </w:p>
    <w:p w14:paraId="7F7484EF" w14:textId="1BC11D97" w:rsidR="00507A05" w:rsidRPr="0080490E" w:rsidRDefault="00507A05"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Como se ha apuntado, los tokens que resulten análogos a </w:t>
      </w:r>
      <w:r w:rsidR="008E774E" w:rsidRPr="0080490E">
        <w:rPr>
          <w:rFonts w:asciiTheme="minorHAnsi" w:hAnsiTheme="minorHAnsi" w:cstheme="minorHAnsi"/>
          <w:szCs w:val="24"/>
        </w:rPr>
        <w:t xml:space="preserve">los </w:t>
      </w:r>
      <w:r w:rsidRPr="0080490E">
        <w:rPr>
          <w:rFonts w:asciiTheme="minorHAnsi" w:hAnsiTheme="minorHAnsi" w:cstheme="minorHAnsi"/>
          <w:szCs w:val="24"/>
        </w:rPr>
        <w:t xml:space="preserve">instrumentos financieros quedan excluidos de MiCA. Tal exclusión queda justificada por un criterio de especialidad, toda vez que estos criptoactivos </w:t>
      </w:r>
      <w:r w:rsidR="00C85A6C" w:rsidRPr="0080490E">
        <w:rPr>
          <w:rFonts w:asciiTheme="minorHAnsi" w:hAnsiTheme="minorHAnsi" w:cstheme="minorHAnsi"/>
          <w:szCs w:val="24"/>
        </w:rPr>
        <w:t xml:space="preserve">son objeto de regulación por las normas </w:t>
      </w:r>
      <w:r w:rsidR="00542933" w:rsidRPr="0080490E">
        <w:rPr>
          <w:rFonts w:asciiTheme="minorHAnsi" w:hAnsiTheme="minorHAnsi" w:cstheme="minorHAnsi"/>
          <w:szCs w:val="24"/>
        </w:rPr>
        <w:t>relativas a los</w:t>
      </w:r>
      <w:r w:rsidRPr="0080490E">
        <w:rPr>
          <w:rFonts w:asciiTheme="minorHAnsi" w:hAnsiTheme="minorHAnsi" w:cstheme="minorHAnsi"/>
          <w:szCs w:val="24"/>
        </w:rPr>
        <w:t xml:space="preserve"> </w:t>
      </w:r>
      <w:r w:rsidR="00E25285" w:rsidRPr="0080490E">
        <w:rPr>
          <w:rFonts w:asciiTheme="minorHAnsi" w:hAnsiTheme="minorHAnsi" w:cstheme="minorHAnsi"/>
          <w:szCs w:val="24"/>
        </w:rPr>
        <w:t>instrumentos</w:t>
      </w:r>
      <w:r w:rsidRPr="0080490E">
        <w:rPr>
          <w:rFonts w:asciiTheme="minorHAnsi" w:hAnsiTheme="minorHAnsi" w:cstheme="minorHAnsi"/>
          <w:szCs w:val="24"/>
        </w:rPr>
        <w:t xml:space="preserve"> financieros.</w:t>
      </w:r>
    </w:p>
    <w:p w14:paraId="5614FB39" w14:textId="76AA518E" w:rsidR="00507A05" w:rsidRPr="0080490E" w:rsidRDefault="00C7443E" w:rsidP="0080490E">
      <w:pPr>
        <w:spacing w:after="0" w:line="276" w:lineRule="auto"/>
        <w:ind w:firstLine="0"/>
        <w:rPr>
          <w:rFonts w:asciiTheme="minorHAnsi" w:hAnsiTheme="minorHAnsi" w:cstheme="minorHAnsi"/>
          <w:iCs/>
          <w:szCs w:val="24"/>
        </w:rPr>
      </w:pPr>
      <w:r w:rsidRPr="0080490E">
        <w:rPr>
          <w:rFonts w:asciiTheme="minorHAnsi" w:hAnsiTheme="minorHAnsi" w:cstheme="minorHAnsi"/>
          <w:szCs w:val="24"/>
        </w:rPr>
        <w:t xml:space="preserve">En la doctrina y en la práctica, se denominan </w:t>
      </w:r>
      <w:proofErr w:type="spellStart"/>
      <w:r w:rsidRPr="0080490E">
        <w:rPr>
          <w:rFonts w:asciiTheme="minorHAnsi" w:hAnsiTheme="minorHAnsi" w:cstheme="minorHAnsi"/>
          <w:i/>
          <w:iCs/>
          <w:szCs w:val="24"/>
        </w:rPr>
        <w:t>security</w:t>
      </w:r>
      <w:proofErr w:type="spellEnd"/>
      <w:r w:rsidRPr="0080490E">
        <w:rPr>
          <w:rFonts w:asciiTheme="minorHAnsi" w:hAnsiTheme="minorHAnsi" w:cstheme="minorHAnsi"/>
          <w:i/>
          <w:iCs/>
          <w:szCs w:val="24"/>
        </w:rPr>
        <w:t xml:space="preserve"> tokens</w:t>
      </w:r>
      <w:r w:rsidRPr="0080490E">
        <w:rPr>
          <w:rFonts w:asciiTheme="minorHAnsi" w:hAnsiTheme="minorHAnsi" w:cstheme="minorHAnsi"/>
          <w:szCs w:val="24"/>
        </w:rPr>
        <w:t xml:space="preserve"> </w:t>
      </w:r>
      <w:r w:rsidR="00C85A6C" w:rsidRPr="0080490E">
        <w:rPr>
          <w:rFonts w:asciiTheme="minorHAnsi" w:hAnsiTheme="minorHAnsi" w:cstheme="minorHAnsi"/>
          <w:szCs w:val="24"/>
        </w:rPr>
        <w:t xml:space="preserve">a </w:t>
      </w:r>
      <w:r w:rsidRPr="0080490E">
        <w:rPr>
          <w:rFonts w:asciiTheme="minorHAnsi" w:hAnsiTheme="minorHAnsi" w:cstheme="minorHAnsi"/>
          <w:szCs w:val="24"/>
        </w:rPr>
        <w:t xml:space="preserve">aquellas representaciones digitales </w:t>
      </w:r>
      <w:r w:rsidR="00C85A6C" w:rsidRPr="0080490E">
        <w:rPr>
          <w:rFonts w:asciiTheme="minorHAnsi" w:hAnsiTheme="minorHAnsi" w:cstheme="minorHAnsi"/>
          <w:szCs w:val="24"/>
        </w:rPr>
        <w:t>de</w:t>
      </w:r>
      <w:r w:rsidRPr="0080490E">
        <w:rPr>
          <w:rFonts w:asciiTheme="minorHAnsi" w:hAnsiTheme="minorHAnsi" w:cstheme="minorHAnsi"/>
          <w:szCs w:val="24"/>
        </w:rPr>
        <w:t xml:space="preserve"> </w:t>
      </w:r>
      <w:r w:rsidR="00542933" w:rsidRPr="0080490E">
        <w:rPr>
          <w:rFonts w:asciiTheme="minorHAnsi" w:hAnsiTheme="minorHAnsi" w:cstheme="minorHAnsi"/>
          <w:szCs w:val="24"/>
        </w:rPr>
        <w:t>una</w:t>
      </w:r>
      <w:r w:rsidRPr="0080490E">
        <w:rPr>
          <w:rFonts w:asciiTheme="minorHAnsi" w:hAnsiTheme="minorHAnsi" w:cstheme="minorHAnsi"/>
          <w:szCs w:val="24"/>
        </w:rPr>
        <w:t xml:space="preserve"> inversión </w:t>
      </w:r>
      <w:r w:rsidR="00C85A6C" w:rsidRPr="0080490E">
        <w:rPr>
          <w:rFonts w:asciiTheme="minorHAnsi" w:hAnsiTheme="minorHAnsi" w:cstheme="minorHAnsi"/>
          <w:szCs w:val="24"/>
        </w:rPr>
        <w:t>y</w:t>
      </w:r>
      <w:r w:rsidR="00885BE4" w:rsidRPr="0080490E">
        <w:rPr>
          <w:rFonts w:asciiTheme="minorHAnsi" w:hAnsiTheme="minorHAnsi" w:cstheme="minorHAnsi"/>
          <w:szCs w:val="24"/>
        </w:rPr>
        <w:t>, en concreto,</w:t>
      </w:r>
      <w:r w:rsidR="00C85A6C" w:rsidRPr="0080490E">
        <w:rPr>
          <w:rFonts w:asciiTheme="minorHAnsi" w:hAnsiTheme="minorHAnsi" w:cstheme="minorHAnsi"/>
          <w:szCs w:val="24"/>
        </w:rPr>
        <w:t xml:space="preserve"> del derecho </w:t>
      </w:r>
      <w:r w:rsidRPr="0080490E">
        <w:rPr>
          <w:rFonts w:asciiTheme="minorHAnsi" w:hAnsiTheme="minorHAnsi" w:cstheme="minorHAnsi"/>
          <w:szCs w:val="24"/>
        </w:rPr>
        <w:t>de</w:t>
      </w:r>
      <w:r w:rsidR="00C85A6C" w:rsidRPr="0080490E">
        <w:rPr>
          <w:rFonts w:asciiTheme="minorHAnsi" w:hAnsiTheme="minorHAnsi" w:cstheme="minorHAnsi"/>
          <w:szCs w:val="24"/>
        </w:rPr>
        <w:t xml:space="preserve"> su </w:t>
      </w:r>
      <w:r w:rsidRPr="0080490E">
        <w:rPr>
          <w:rFonts w:asciiTheme="minorHAnsi" w:hAnsiTheme="minorHAnsi" w:cstheme="minorHAnsi"/>
          <w:szCs w:val="24"/>
        </w:rPr>
        <w:t xml:space="preserve">titular </w:t>
      </w:r>
      <w:r w:rsidR="00C85A6C" w:rsidRPr="0080490E">
        <w:rPr>
          <w:rFonts w:asciiTheme="minorHAnsi" w:hAnsiTheme="minorHAnsi" w:cstheme="minorHAnsi"/>
          <w:szCs w:val="24"/>
        </w:rPr>
        <w:t>a participar en las ganancias de</w:t>
      </w:r>
      <w:r w:rsidRPr="0080490E">
        <w:rPr>
          <w:rFonts w:asciiTheme="minorHAnsi" w:hAnsiTheme="minorHAnsi" w:cstheme="minorHAnsi"/>
          <w:szCs w:val="24"/>
        </w:rPr>
        <w:t xml:space="preserve"> la entidad emisora de los tokens</w:t>
      </w:r>
      <w:r w:rsidR="000C73B7" w:rsidRPr="0080490E">
        <w:rPr>
          <w:rFonts w:asciiTheme="minorHAnsi" w:hAnsiTheme="minorHAnsi" w:cstheme="minorHAnsi"/>
          <w:szCs w:val="24"/>
          <w:vertAlign w:val="superscript"/>
        </w:rPr>
        <w:footnoteReference w:id="8"/>
      </w:r>
      <w:r w:rsidR="00507A05" w:rsidRPr="0080490E">
        <w:rPr>
          <w:rFonts w:asciiTheme="minorHAnsi" w:hAnsiTheme="minorHAnsi" w:cstheme="minorHAnsi"/>
          <w:szCs w:val="24"/>
        </w:rPr>
        <w:t xml:space="preserve">. </w:t>
      </w:r>
      <w:r w:rsidRPr="0080490E">
        <w:rPr>
          <w:rFonts w:asciiTheme="minorHAnsi" w:hAnsiTheme="minorHAnsi" w:cstheme="minorHAnsi"/>
          <w:szCs w:val="24"/>
        </w:rPr>
        <w:t>Cuando se habla de tokenización inmobiliaria</w:t>
      </w:r>
      <w:r w:rsidR="00B10906" w:rsidRPr="0080490E">
        <w:rPr>
          <w:rFonts w:asciiTheme="minorHAnsi" w:hAnsiTheme="minorHAnsi" w:cstheme="minorHAnsi"/>
          <w:szCs w:val="24"/>
        </w:rPr>
        <w:t xml:space="preserve"> </w:t>
      </w:r>
      <w:r w:rsidRPr="0080490E">
        <w:rPr>
          <w:rFonts w:asciiTheme="minorHAnsi" w:hAnsiTheme="minorHAnsi" w:cstheme="minorHAnsi"/>
          <w:szCs w:val="24"/>
        </w:rPr>
        <w:t xml:space="preserve">no se </w:t>
      </w:r>
      <w:r w:rsidR="00542933" w:rsidRPr="0080490E">
        <w:rPr>
          <w:rFonts w:asciiTheme="minorHAnsi" w:hAnsiTheme="minorHAnsi" w:cstheme="minorHAnsi"/>
          <w:szCs w:val="24"/>
        </w:rPr>
        <w:t xml:space="preserve">alude a la </w:t>
      </w:r>
      <w:r w:rsidRPr="0080490E">
        <w:rPr>
          <w:rFonts w:asciiTheme="minorHAnsi" w:hAnsiTheme="minorHAnsi" w:cstheme="minorHAnsi"/>
          <w:szCs w:val="24"/>
        </w:rPr>
        <w:t>digitaliza</w:t>
      </w:r>
      <w:r w:rsidR="00542933" w:rsidRPr="0080490E">
        <w:rPr>
          <w:rFonts w:asciiTheme="minorHAnsi" w:hAnsiTheme="minorHAnsi" w:cstheme="minorHAnsi"/>
          <w:szCs w:val="24"/>
        </w:rPr>
        <w:t xml:space="preserve">ción del derecho de </w:t>
      </w:r>
      <w:r w:rsidRPr="0080490E">
        <w:rPr>
          <w:rFonts w:asciiTheme="minorHAnsi" w:hAnsiTheme="minorHAnsi" w:cstheme="minorHAnsi"/>
          <w:szCs w:val="24"/>
        </w:rPr>
        <w:t xml:space="preserve">propiedad </w:t>
      </w:r>
      <w:r w:rsidR="00B10906" w:rsidRPr="0080490E">
        <w:rPr>
          <w:rFonts w:asciiTheme="minorHAnsi" w:hAnsiTheme="minorHAnsi" w:cstheme="minorHAnsi"/>
          <w:szCs w:val="24"/>
        </w:rPr>
        <w:t xml:space="preserve">sobre </w:t>
      </w:r>
      <w:r w:rsidRPr="0080490E">
        <w:rPr>
          <w:rFonts w:asciiTheme="minorHAnsi" w:hAnsiTheme="minorHAnsi" w:cstheme="minorHAnsi"/>
          <w:szCs w:val="24"/>
        </w:rPr>
        <w:t xml:space="preserve">el inmueble sino </w:t>
      </w:r>
      <w:r w:rsidR="00542933" w:rsidRPr="0080490E">
        <w:rPr>
          <w:rFonts w:asciiTheme="minorHAnsi" w:hAnsiTheme="minorHAnsi" w:cstheme="minorHAnsi"/>
          <w:szCs w:val="24"/>
        </w:rPr>
        <w:t xml:space="preserve">a </w:t>
      </w:r>
      <w:r w:rsidRPr="0080490E">
        <w:rPr>
          <w:rFonts w:asciiTheme="minorHAnsi" w:hAnsiTheme="minorHAnsi" w:cstheme="minorHAnsi"/>
          <w:szCs w:val="24"/>
        </w:rPr>
        <w:t xml:space="preserve">la participación del titular del token en las ganancias derivadas de </w:t>
      </w:r>
      <w:r w:rsidR="00FF3184" w:rsidRPr="0080490E">
        <w:rPr>
          <w:rFonts w:asciiTheme="minorHAnsi" w:hAnsiTheme="minorHAnsi" w:cstheme="minorHAnsi"/>
          <w:szCs w:val="24"/>
        </w:rPr>
        <w:t xml:space="preserve">su </w:t>
      </w:r>
      <w:r w:rsidRPr="0080490E">
        <w:rPr>
          <w:rFonts w:asciiTheme="minorHAnsi" w:hAnsiTheme="minorHAnsi" w:cstheme="minorHAnsi"/>
          <w:szCs w:val="24"/>
        </w:rPr>
        <w:t>explotación</w:t>
      </w:r>
      <w:r w:rsidR="00507A05" w:rsidRPr="0080490E">
        <w:rPr>
          <w:rFonts w:asciiTheme="minorHAnsi" w:hAnsiTheme="minorHAnsi" w:cstheme="minorHAnsi"/>
          <w:szCs w:val="24"/>
        </w:rPr>
        <w:t xml:space="preserve">. </w:t>
      </w:r>
      <w:r w:rsidRPr="0080490E">
        <w:rPr>
          <w:rFonts w:asciiTheme="minorHAnsi" w:hAnsiTheme="minorHAnsi" w:cstheme="minorHAnsi"/>
          <w:szCs w:val="24"/>
        </w:rPr>
        <w:t xml:space="preserve">La función de los </w:t>
      </w:r>
      <w:proofErr w:type="spellStart"/>
      <w:r w:rsidRPr="0080490E">
        <w:rPr>
          <w:rFonts w:asciiTheme="minorHAnsi" w:hAnsiTheme="minorHAnsi" w:cstheme="minorHAnsi"/>
          <w:i/>
          <w:iCs/>
          <w:szCs w:val="24"/>
        </w:rPr>
        <w:t>security</w:t>
      </w:r>
      <w:proofErr w:type="spellEnd"/>
      <w:r w:rsidRPr="0080490E">
        <w:rPr>
          <w:rFonts w:asciiTheme="minorHAnsi" w:hAnsiTheme="minorHAnsi" w:cstheme="minorHAnsi"/>
          <w:i/>
          <w:iCs/>
          <w:szCs w:val="24"/>
        </w:rPr>
        <w:t xml:space="preserve"> tokens</w:t>
      </w:r>
      <w:r w:rsidRPr="0080490E">
        <w:rPr>
          <w:rFonts w:asciiTheme="minorHAnsi" w:hAnsiTheme="minorHAnsi" w:cstheme="minorHAnsi"/>
          <w:szCs w:val="24"/>
        </w:rPr>
        <w:t xml:space="preserve">, tanto para </w:t>
      </w:r>
      <w:r w:rsidR="00542933" w:rsidRPr="0080490E">
        <w:rPr>
          <w:rFonts w:asciiTheme="minorHAnsi" w:hAnsiTheme="minorHAnsi" w:cstheme="minorHAnsi"/>
          <w:szCs w:val="24"/>
        </w:rPr>
        <w:t>el</w:t>
      </w:r>
      <w:r w:rsidRPr="0080490E">
        <w:rPr>
          <w:rFonts w:asciiTheme="minorHAnsi" w:hAnsiTheme="minorHAnsi" w:cstheme="minorHAnsi"/>
          <w:szCs w:val="24"/>
        </w:rPr>
        <w:t xml:space="preserve"> emisor como para los inversores, hace que compartan ciertas similitudes con las acciones</w:t>
      </w:r>
      <w:r w:rsidR="00507A05" w:rsidRPr="0080490E">
        <w:rPr>
          <w:rFonts w:asciiTheme="minorHAnsi" w:hAnsiTheme="minorHAnsi" w:cstheme="minorHAnsi"/>
          <w:szCs w:val="24"/>
          <w:vertAlign w:val="superscript"/>
        </w:rPr>
        <w:footnoteReference w:id="9"/>
      </w:r>
      <w:r w:rsidR="00507A05" w:rsidRPr="0080490E">
        <w:rPr>
          <w:rFonts w:asciiTheme="minorHAnsi" w:hAnsiTheme="minorHAnsi" w:cstheme="minorHAnsi"/>
          <w:i/>
          <w:szCs w:val="24"/>
        </w:rPr>
        <w:t>.</w:t>
      </w:r>
    </w:p>
    <w:p w14:paraId="362C7316" w14:textId="60942FF6" w:rsidR="00243601" w:rsidRPr="0080490E" w:rsidRDefault="00E53C02"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Sin embargo, las diversas categorías de tokens no se agotan en las anteriores. </w:t>
      </w:r>
      <w:r w:rsidR="00E25285" w:rsidRPr="0080490E">
        <w:rPr>
          <w:rFonts w:asciiTheme="minorHAnsi" w:hAnsiTheme="minorHAnsi" w:cstheme="minorHAnsi"/>
          <w:szCs w:val="24"/>
          <w:lang w:eastAsia="es-ES_tradnl"/>
        </w:rPr>
        <w:t xml:space="preserve">De ahí que cualquier intento de clasificar los distintos </w:t>
      </w:r>
      <w:r w:rsidR="00694EDF" w:rsidRPr="0080490E">
        <w:rPr>
          <w:rFonts w:asciiTheme="minorHAnsi" w:hAnsiTheme="minorHAnsi" w:cstheme="minorHAnsi"/>
          <w:szCs w:val="24"/>
          <w:lang w:eastAsia="es-ES_tradnl"/>
        </w:rPr>
        <w:t>tokens de forma exhaustiva corra</w:t>
      </w:r>
      <w:r w:rsidR="00E25285" w:rsidRPr="0080490E">
        <w:rPr>
          <w:rFonts w:asciiTheme="minorHAnsi" w:hAnsiTheme="minorHAnsi" w:cstheme="minorHAnsi"/>
          <w:szCs w:val="24"/>
          <w:lang w:eastAsia="es-ES_tradnl"/>
        </w:rPr>
        <w:t xml:space="preserve"> el riesgo de resultar incompleto, o de quedar rápidamente obsoleto</w:t>
      </w:r>
      <w:r w:rsidR="00E25285" w:rsidRPr="0080490E">
        <w:rPr>
          <w:rStyle w:val="Refdenotaalpie"/>
          <w:rFonts w:asciiTheme="minorHAnsi" w:hAnsiTheme="minorHAnsi" w:cstheme="minorHAnsi"/>
          <w:szCs w:val="24"/>
          <w:lang w:eastAsia="es-ES_tradnl"/>
        </w:rPr>
        <w:footnoteReference w:id="10"/>
      </w:r>
      <w:r w:rsidR="00E25285" w:rsidRPr="0080490E">
        <w:rPr>
          <w:rFonts w:asciiTheme="minorHAnsi" w:hAnsiTheme="minorHAnsi" w:cstheme="minorHAnsi"/>
          <w:szCs w:val="24"/>
          <w:lang w:eastAsia="es-ES_tradnl"/>
        </w:rPr>
        <w:t>. S</w:t>
      </w:r>
      <w:r w:rsidR="00243601" w:rsidRPr="0080490E">
        <w:rPr>
          <w:rFonts w:asciiTheme="minorHAnsi" w:hAnsiTheme="minorHAnsi" w:cstheme="minorHAnsi"/>
          <w:szCs w:val="24"/>
        </w:rPr>
        <w:t xml:space="preserve">obre la base de </w:t>
      </w:r>
      <w:r w:rsidRPr="0080490E">
        <w:rPr>
          <w:rFonts w:asciiTheme="minorHAnsi" w:hAnsiTheme="minorHAnsi" w:cstheme="minorHAnsi"/>
          <w:szCs w:val="24"/>
        </w:rPr>
        <w:t>la</w:t>
      </w:r>
      <w:r w:rsidR="00243601" w:rsidRPr="0080490E">
        <w:rPr>
          <w:rFonts w:asciiTheme="minorHAnsi" w:hAnsiTheme="minorHAnsi" w:cstheme="minorHAnsi"/>
          <w:szCs w:val="24"/>
        </w:rPr>
        <w:t xml:space="preserve"> función representativa </w:t>
      </w:r>
      <w:r w:rsidRPr="0080490E">
        <w:rPr>
          <w:rFonts w:asciiTheme="minorHAnsi" w:hAnsiTheme="minorHAnsi" w:cstheme="minorHAnsi"/>
          <w:szCs w:val="24"/>
        </w:rPr>
        <w:t>que define al token</w:t>
      </w:r>
      <w:r w:rsidR="00A80BDC" w:rsidRPr="0080490E">
        <w:rPr>
          <w:rFonts w:asciiTheme="minorHAnsi" w:hAnsiTheme="minorHAnsi" w:cstheme="minorHAnsi"/>
          <w:szCs w:val="24"/>
        </w:rPr>
        <w:t xml:space="preserve">, se puede </w:t>
      </w:r>
      <w:r w:rsidR="0017176B" w:rsidRPr="0080490E">
        <w:rPr>
          <w:rFonts w:asciiTheme="minorHAnsi" w:hAnsiTheme="minorHAnsi" w:cstheme="minorHAnsi"/>
          <w:szCs w:val="24"/>
        </w:rPr>
        <w:t>diseñar</w:t>
      </w:r>
      <w:r w:rsidR="00A80BDC" w:rsidRPr="0080490E">
        <w:rPr>
          <w:rFonts w:asciiTheme="minorHAnsi" w:hAnsiTheme="minorHAnsi" w:cstheme="minorHAnsi"/>
          <w:szCs w:val="24"/>
        </w:rPr>
        <w:t xml:space="preserve"> </w:t>
      </w:r>
      <w:r w:rsidR="0017176B" w:rsidRPr="0080490E">
        <w:rPr>
          <w:rFonts w:asciiTheme="minorHAnsi" w:hAnsiTheme="minorHAnsi" w:cstheme="minorHAnsi"/>
          <w:szCs w:val="24"/>
        </w:rPr>
        <w:t>un</w:t>
      </w:r>
      <w:r w:rsidR="00A80BDC" w:rsidRPr="0080490E">
        <w:rPr>
          <w:rFonts w:asciiTheme="minorHAnsi" w:hAnsiTheme="minorHAnsi" w:cstheme="minorHAnsi"/>
          <w:szCs w:val="24"/>
        </w:rPr>
        <w:t xml:space="preserve"> criptoactivo </w:t>
      </w:r>
      <w:r w:rsidR="0017176B" w:rsidRPr="0080490E">
        <w:rPr>
          <w:rFonts w:asciiTheme="minorHAnsi" w:hAnsiTheme="minorHAnsi" w:cstheme="minorHAnsi"/>
          <w:szCs w:val="24"/>
        </w:rPr>
        <w:t xml:space="preserve">que </w:t>
      </w:r>
      <w:r w:rsidR="00A80BDC" w:rsidRPr="0080490E">
        <w:rPr>
          <w:rFonts w:asciiTheme="minorHAnsi" w:hAnsiTheme="minorHAnsi" w:cstheme="minorHAnsi"/>
          <w:szCs w:val="24"/>
        </w:rPr>
        <w:t>represente la identidad o la condición de un sujeto</w:t>
      </w:r>
      <w:r w:rsidR="00243601" w:rsidRPr="0080490E">
        <w:rPr>
          <w:rFonts w:asciiTheme="minorHAnsi" w:hAnsiTheme="minorHAnsi" w:cstheme="minorHAnsi"/>
          <w:szCs w:val="24"/>
        </w:rPr>
        <w:t>, de tal modo que</w:t>
      </w:r>
      <w:r w:rsidR="006768C5" w:rsidRPr="0080490E">
        <w:rPr>
          <w:rFonts w:asciiTheme="minorHAnsi" w:hAnsiTheme="minorHAnsi" w:cstheme="minorHAnsi"/>
          <w:szCs w:val="24"/>
        </w:rPr>
        <w:t xml:space="preserve"> el token</w:t>
      </w:r>
      <w:r w:rsidR="00243601" w:rsidRPr="0080490E">
        <w:rPr>
          <w:rFonts w:asciiTheme="minorHAnsi" w:hAnsiTheme="minorHAnsi" w:cstheme="minorHAnsi"/>
          <w:szCs w:val="24"/>
        </w:rPr>
        <w:t xml:space="preserve"> </w:t>
      </w:r>
      <w:r w:rsidR="00A80BDC" w:rsidRPr="0080490E">
        <w:rPr>
          <w:rFonts w:asciiTheme="minorHAnsi" w:hAnsiTheme="minorHAnsi" w:cstheme="minorHAnsi"/>
          <w:szCs w:val="24"/>
        </w:rPr>
        <w:t>sea</w:t>
      </w:r>
      <w:r w:rsidR="00243601" w:rsidRPr="0080490E">
        <w:rPr>
          <w:rFonts w:asciiTheme="minorHAnsi" w:hAnsiTheme="minorHAnsi" w:cstheme="minorHAnsi"/>
          <w:szCs w:val="24"/>
        </w:rPr>
        <w:t xml:space="preserve"> un </w:t>
      </w:r>
      <w:r w:rsidR="00542933" w:rsidRPr="0080490E">
        <w:rPr>
          <w:rFonts w:asciiTheme="minorHAnsi" w:hAnsiTheme="minorHAnsi" w:cstheme="minorHAnsi"/>
          <w:szCs w:val="24"/>
        </w:rPr>
        <w:t>elemento</w:t>
      </w:r>
      <w:r w:rsidR="00243601" w:rsidRPr="0080490E">
        <w:rPr>
          <w:rFonts w:asciiTheme="minorHAnsi" w:hAnsiTheme="minorHAnsi" w:cstheme="minorHAnsi"/>
          <w:szCs w:val="24"/>
        </w:rPr>
        <w:t xml:space="preserve"> </w:t>
      </w:r>
      <w:r w:rsidR="00243601" w:rsidRPr="0080490E">
        <w:rPr>
          <w:rFonts w:asciiTheme="minorHAnsi" w:hAnsiTheme="minorHAnsi" w:cstheme="minorHAnsi"/>
          <w:szCs w:val="24"/>
        </w:rPr>
        <w:lastRenderedPageBreak/>
        <w:t>identificador que</w:t>
      </w:r>
      <w:r w:rsidR="00B6484A" w:rsidRPr="0080490E">
        <w:rPr>
          <w:rFonts w:asciiTheme="minorHAnsi" w:hAnsiTheme="minorHAnsi" w:cstheme="minorHAnsi"/>
          <w:szCs w:val="24"/>
        </w:rPr>
        <w:t xml:space="preserve"> le</w:t>
      </w:r>
      <w:r w:rsidR="00243601" w:rsidRPr="0080490E">
        <w:rPr>
          <w:rFonts w:asciiTheme="minorHAnsi" w:hAnsiTheme="minorHAnsi" w:cstheme="minorHAnsi"/>
          <w:szCs w:val="24"/>
        </w:rPr>
        <w:t xml:space="preserve"> acredit</w:t>
      </w:r>
      <w:r w:rsidR="00A80BDC" w:rsidRPr="0080490E">
        <w:rPr>
          <w:rFonts w:asciiTheme="minorHAnsi" w:hAnsiTheme="minorHAnsi" w:cstheme="minorHAnsi"/>
          <w:szCs w:val="24"/>
        </w:rPr>
        <w:t>e</w:t>
      </w:r>
      <w:r w:rsidR="00243601" w:rsidRPr="0080490E">
        <w:rPr>
          <w:rFonts w:asciiTheme="minorHAnsi" w:hAnsiTheme="minorHAnsi" w:cstheme="minorHAnsi"/>
          <w:szCs w:val="24"/>
        </w:rPr>
        <w:t xml:space="preserve"> en una cadena de bloques. Este identificador</w:t>
      </w:r>
      <w:r w:rsidR="00E25285" w:rsidRPr="0080490E">
        <w:rPr>
          <w:rFonts w:asciiTheme="minorHAnsi" w:hAnsiTheme="minorHAnsi" w:cstheme="minorHAnsi"/>
          <w:szCs w:val="24"/>
        </w:rPr>
        <w:t xml:space="preserve"> </w:t>
      </w:r>
      <w:r w:rsidR="00243601" w:rsidRPr="0080490E">
        <w:rPr>
          <w:rFonts w:asciiTheme="minorHAnsi" w:hAnsiTheme="minorHAnsi" w:cstheme="minorHAnsi"/>
          <w:szCs w:val="24"/>
        </w:rPr>
        <w:t xml:space="preserve">puede emplearse como criterio de legitimación </w:t>
      </w:r>
      <w:r w:rsidR="00542933" w:rsidRPr="0080490E">
        <w:rPr>
          <w:rFonts w:asciiTheme="minorHAnsi" w:hAnsiTheme="minorHAnsi" w:cstheme="minorHAnsi"/>
          <w:szCs w:val="24"/>
        </w:rPr>
        <w:t>para que</w:t>
      </w:r>
      <w:r w:rsidR="00243601" w:rsidRPr="0080490E">
        <w:rPr>
          <w:rFonts w:asciiTheme="minorHAnsi" w:hAnsiTheme="minorHAnsi" w:cstheme="minorHAnsi"/>
          <w:szCs w:val="24"/>
        </w:rPr>
        <w:t xml:space="preserve"> su </w:t>
      </w:r>
      <w:r w:rsidR="00A80BDC" w:rsidRPr="0080490E">
        <w:rPr>
          <w:rFonts w:asciiTheme="minorHAnsi" w:hAnsiTheme="minorHAnsi" w:cstheme="minorHAnsi"/>
          <w:szCs w:val="24"/>
        </w:rPr>
        <w:t>titular</w:t>
      </w:r>
      <w:r w:rsidR="00243601" w:rsidRPr="0080490E">
        <w:rPr>
          <w:rFonts w:asciiTheme="minorHAnsi" w:hAnsiTheme="minorHAnsi" w:cstheme="minorHAnsi"/>
          <w:szCs w:val="24"/>
        </w:rPr>
        <w:t xml:space="preserve"> </w:t>
      </w:r>
      <w:r w:rsidR="00A80BDC" w:rsidRPr="0080490E">
        <w:rPr>
          <w:rFonts w:asciiTheme="minorHAnsi" w:hAnsiTheme="minorHAnsi" w:cstheme="minorHAnsi"/>
          <w:szCs w:val="24"/>
        </w:rPr>
        <w:t>acceda a bienes o servicios, realice operaciones en la cadena de bloques o reciba pagos de otros usuarios</w:t>
      </w:r>
      <w:r w:rsidR="00243601" w:rsidRPr="0080490E">
        <w:rPr>
          <w:rFonts w:asciiTheme="minorHAnsi" w:hAnsiTheme="minorHAnsi" w:cstheme="minorHAnsi"/>
          <w:szCs w:val="24"/>
        </w:rPr>
        <w:t>.</w:t>
      </w:r>
    </w:p>
    <w:p w14:paraId="4EE558A9" w14:textId="77777777" w:rsidR="00243601" w:rsidRPr="0080490E" w:rsidRDefault="00243601" w:rsidP="0080490E">
      <w:pPr>
        <w:spacing w:after="0" w:line="276" w:lineRule="auto"/>
        <w:ind w:firstLine="0"/>
        <w:rPr>
          <w:rFonts w:asciiTheme="minorHAnsi" w:hAnsiTheme="minorHAnsi" w:cstheme="minorHAnsi"/>
          <w:szCs w:val="24"/>
        </w:rPr>
      </w:pPr>
    </w:p>
    <w:p w14:paraId="314E50F3" w14:textId="3FA254D3" w:rsidR="00243601" w:rsidRPr="0080490E" w:rsidRDefault="00D95053" w:rsidP="0080490E">
      <w:pPr>
        <w:pStyle w:val="Ttulo2"/>
        <w:spacing w:after="0" w:line="276" w:lineRule="auto"/>
        <w:ind w:firstLine="0"/>
        <w:rPr>
          <w:rFonts w:asciiTheme="minorHAnsi" w:hAnsiTheme="minorHAnsi" w:cstheme="minorHAnsi"/>
          <w:szCs w:val="24"/>
        </w:rPr>
      </w:pPr>
      <w:r w:rsidRPr="0080490E">
        <w:rPr>
          <w:rFonts w:asciiTheme="minorHAnsi" w:hAnsiTheme="minorHAnsi" w:cstheme="minorHAnsi"/>
          <w:szCs w:val="24"/>
        </w:rPr>
        <w:t>2.2</w:t>
      </w:r>
      <w:r w:rsidR="00243601" w:rsidRPr="0080490E">
        <w:rPr>
          <w:rFonts w:asciiTheme="minorHAnsi" w:hAnsiTheme="minorHAnsi" w:cstheme="minorHAnsi"/>
          <w:szCs w:val="24"/>
        </w:rPr>
        <w:t>. La tokenización como cauce de financiación</w:t>
      </w:r>
      <w:r w:rsidR="0043055D" w:rsidRPr="0080490E">
        <w:rPr>
          <w:rFonts w:asciiTheme="minorHAnsi" w:hAnsiTheme="minorHAnsi" w:cstheme="minorHAnsi"/>
          <w:szCs w:val="24"/>
        </w:rPr>
        <w:t xml:space="preserve"> </w:t>
      </w:r>
      <w:r w:rsidR="00243601" w:rsidRPr="0080490E">
        <w:rPr>
          <w:rFonts w:asciiTheme="minorHAnsi" w:hAnsiTheme="minorHAnsi" w:cstheme="minorHAnsi"/>
          <w:szCs w:val="24"/>
        </w:rPr>
        <w:t>alternativo</w:t>
      </w:r>
    </w:p>
    <w:p w14:paraId="488753D7" w14:textId="2EE7B61E" w:rsidR="00DC2EA2" w:rsidRPr="0080490E" w:rsidRDefault="00680472"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L</w:t>
      </w:r>
      <w:r w:rsidR="007C2955" w:rsidRPr="0080490E">
        <w:rPr>
          <w:rFonts w:asciiTheme="minorHAnsi" w:hAnsiTheme="minorHAnsi" w:cstheme="minorHAnsi"/>
          <w:szCs w:val="24"/>
        </w:rPr>
        <w:t>as razones que motivan la</w:t>
      </w:r>
      <w:r w:rsidRPr="0080490E">
        <w:rPr>
          <w:rFonts w:asciiTheme="minorHAnsi" w:hAnsiTheme="minorHAnsi" w:cstheme="minorHAnsi"/>
          <w:szCs w:val="24"/>
        </w:rPr>
        <w:t xml:space="preserve"> </w:t>
      </w:r>
      <w:r w:rsidR="00243601" w:rsidRPr="0080490E">
        <w:rPr>
          <w:rFonts w:asciiTheme="minorHAnsi" w:hAnsiTheme="minorHAnsi" w:cstheme="minorHAnsi"/>
          <w:szCs w:val="24"/>
        </w:rPr>
        <w:t xml:space="preserve">emisión y </w:t>
      </w:r>
      <w:r w:rsidR="007C2955" w:rsidRPr="0080490E">
        <w:rPr>
          <w:rFonts w:asciiTheme="minorHAnsi" w:hAnsiTheme="minorHAnsi" w:cstheme="minorHAnsi"/>
          <w:szCs w:val="24"/>
        </w:rPr>
        <w:t>oferta</w:t>
      </w:r>
      <w:r w:rsidRPr="0080490E">
        <w:rPr>
          <w:rFonts w:asciiTheme="minorHAnsi" w:hAnsiTheme="minorHAnsi" w:cstheme="minorHAnsi"/>
          <w:szCs w:val="24"/>
        </w:rPr>
        <w:t xml:space="preserve"> de criptoactivos </w:t>
      </w:r>
      <w:r w:rsidR="00B379D2" w:rsidRPr="0080490E">
        <w:rPr>
          <w:rFonts w:asciiTheme="minorHAnsi" w:hAnsiTheme="minorHAnsi" w:cstheme="minorHAnsi"/>
          <w:szCs w:val="24"/>
        </w:rPr>
        <w:t>son</w:t>
      </w:r>
      <w:r w:rsidR="00B65943" w:rsidRPr="0080490E">
        <w:rPr>
          <w:rFonts w:asciiTheme="minorHAnsi" w:hAnsiTheme="minorHAnsi" w:cstheme="minorHAnsi"/>
          <w:szCs w:val="24"/>
        </w:rPr>
        <w:t xml:space="preserve"> de naturaleza financiera</w:t>
      </w:r>
      <w:r w:rsidRPr="0080490E">
        <w:rPr>
          <w:rFonts w:asciiTheme="minorHAnsi" w:hAnsiTheme="minorHAnsi" w:cstheme="minorHAnsi"/>
          <w:szCs w:val="24"/>
        </w:rPr>
        <w:t>.</w:t>
      </w:r>
      <w:r w:rsidR="00432D99" w:rsidRPr="0080490E">
        <w:rPr>
          <w:rFonts w:asciiTheme="minorHAnsi" w:hAnsiTheme="minorHAnsi" w:cstheme="minorHAnsi"/>
          <w:szCs w:val="24"/>
        </w:rPr>
        <w:t xml:space="preserve"> Subrayar esta cuestión resulta fundamental, toda vez que la emisión de tokens es habitual que tenga una finalidad preminentemente financiadora </w:t>
      </w:r>
      <w:r w:rsidR="00B65943" w:rsidRPr="0080490E">
        <w:rPr>
          <w:rFonts w:asciiTheme="minorHAnsi" w:hAnsiTheme="minorHAnsi" w:cstheme="minorHAnsi"/>
          <w:szCs w:val="24"/>
        </w:rPr>
        <w:t>y se presenta como una alternativa a la emisión de bonos, nuevas acciones o participaciones, así como a los préstamos convencionales</w:t>
      </w:r>
      <w:r w:rsidRPr="0080490E">
        <w:rPr>
          <w:rFonts w:asciiTheme="minorHAnsi" w:hAnsiTheme="minorHAnsi" w:cstheme="minorHAnsi"/>
          <w:szCs w:val="24"/>
          <w:vertAlign w:val="superscript"/>
        </w:rPr>
        <w:footnoteReference w:id="11"/>
      </w:r>
      <w:r w:rsidR="00DC2EA2" w:rsidRPr="0080490E">
        <w:rPr>
          <w:rFonts w:asciiTheme="minorHAnsi" w:hAnsiTheme="minorHAnsi" w:cstheme="minorHAnsi"/>
          <w:szCs w:val="24"/>
        </w:rPr>
        <w:t>.</w:t>
      </w:r>
    </w:p>
    <w:p w14:paraId="243327C1" w14:textId="06002928" w:rsidR="00CD4C5C" w:rsidRPr="0080490E" w:rsidRDefault="000C405A"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Los procesos de emisión de tokens han venido denominándose de diversas maneras: </w:t>
      </w:r>
      <w:proofErr w:type="spellStart"/>
      <w:r w:rsidRPr="0080490E">
        <w:rPr>
          <w:rFonts w:asciiTheme="minorHAnsi" w:hAnsiTheme="minorHAnsi" w:cstheme="minorHAnsi"/>
          <w:i/>
          <w:szCs w:val="24"/>
        </w:rPr>
        <w:t>ini</w:t>
      </w:r>
      <w:r w:rsidR="0011072F" w:rsidRPr="0080490E">
        <w:rPr>
          <w:rFonts w:asciiTheme="minorHAnsi" w:hAnsiTheme="minorHAnsi" w:cstheme="minorHAnsi"/>
          <w:i/>
          <w:szCs w:val="24"/>
        </w:rPr>
        <w:t>t</w:t>
      </w:r>
      <w:r w:rsidRPr="0080490E">
        <w:rPr>
          <w:rFonts w:asciiTheme="minorHAnsi" w:hAnsiTheme="minorHAnsi" w:cstheme="minorHAnsi"/>
          <w:i/>
          <w:szCs w:val="24"/>
        </w:rPr>
        <w:t>ial</w:t>
      </w:r>
      <w:proofErr w:type="spellEnd"/>
      <w:r w:rsidRPr="0080490E">
        <w:rPr>
          <w:rFonts w:asciiTheme="minorHAnsi" w:hAnsiTheme="minorHAnsi" w:cstheme="minorHAnsi"/>
          <w:i/>
          <w:szCs w:val="24"/>
        </w:rPr>
        <w:t xml:space="preserve"> </w:t>
      </w:r>
      <w:proofErr w:type="spellStart"/>
      <w:r w:rsidRPr="0080490E">
        <w:rPr>
          <w:rFonts w:asciiTheme="minorHAnsi" w:hAnsiTheme="minorHAnsi" w:cstheme="minorHAnsi"/>
          <w:i/>
          <w:szCs w:val="24"/>
        </w:rPr>
        <w:t>coin</w:t>
      </w:r>
      <w:proofErr w:type="spellEnd"/>
      <w:r w:rsidRPr="0080490E">
        <w:rPr>
          <w:rFonts w:asciiTheme="minorHAnsi" w:hAnsiTheme="minorHAnsi" w:cstheme="minorHAnsi"/>
          <w:i/>
          <w:szCs w:val="24"/>
        </w:rPr>
        <w:t xml:space="preserve"> </w:t>
      </w:r>
      <w:proofErr w:type="spellStart"/>
      <w:r w:rsidRPr="0080490E">
        <w:rPr>
          <w:rFonts w:asciiTheme="minorHAnsi" w:hAnsiTheme="minorHAnsi" w:cstheme="minorHAnsi"/>
          <w:i/>
          <w:szCs w:val="24"/>
        </w:rPr>
        <w:t>offering</w:t>
      </w:r>
      <w:r w:rsidR="00694EDF" w:rsidRPr="0080490E">
        <w:rPr>
          <w:rFonts w:asciiTheme="minorHAnsi" w:hAnsiTheme="minorHAnsi" w:cstheme="minorHAnsi"/>
          <w:i/>
          <w:szCs w:val="24"/>
        </w:rPr>
        <w:t>s</w:t>
      </w:r>
      <w:proofErr w:type="spellEnd"/>
      <w:r w:rsidRPr="0080490E">
        <w:rPr>
          <w:rFonts w:asciiTheme="minorHAnsi" w:hAnsiTheme="minorHAnsi" w:cstheme="minorHAnsi"/>
          <w:szCs w:val="24"/>
        </w:rPr>
        <w:t xml:space="preserve"> o </w:t>
      </w:r>
      <w:proofErr w:type="spellStart"/>
      <w:r w:rsidRPr="0080490E">
        <w:rPr>
          <w:rFonts w:asciiTheme="minorHAnsi" w:hAnsiTheme="minorHAnsi" w:cstheme="minorHAnsi"/>
          <w:i/>
          <w:szCs w:val="24"/>
        </w:rPr>
        <w:t>security</w:t>
      </w:r>
      <w:proofErr w:type="spellEnd"/>
      <w:r w:rsidRPr="0080490E">
        <w:rPr>
          <w:rFonts w:asciiTheme="minorHAnsi" w:hAnsiTheme="minorHAnsi" w:cstheme="minorHAnsi"/>
          <w:i/>
          <w:szCs w:val="24"/>
        </w:rPr>
        <w:t xml:space="preserve"> tokens </w:t>
      </w:r>
      <w:proofErr w:type="spellStart"/>
      <w:r w:rsidRPr="0080490E">
        <w:rPr>
          <w:rFonts w:asciiTheme="minorHAnsi" w:hAnsiTheme="minorHAnsi" w:cstheme="minorHAnsi"/>
          <w:i/>
          <w:szCs w:val="24"/>
        </w:rPr>
        <w:t>offering</w:t>
      </w:r>
      <w:r w:rsidR="00694EDF" w:rsidRPr="0080490E">
        <w:rPr>
          <w:rFonts w:asciiTheme="minorHAnsi" w:hAnsiTheme="minorHAnsi" w:cstheme="minorHAnsi"/>
          <w:i/>
          <w:szCs w:val="24"/>
        </w:rPr>
        <w:t>s</w:t>
      </w:r>
      <w:proofErr w:type="spellEnd"/>
      <w:r w:rsidRPr="0080490E">
        <w:rPr>
          <w:rFonts w:asciiTheme="minorHAnsi" w:hAnsiTheme="minorHAnsi" w:cstheme="minorHAnsi"/>
          <w:szCs w:val="24"/>
        </w:rPr>
        <w:t xml:space="preserve">. </w:t>
      </w:r>
      <w:r w:rsidR="00B65943" w:rsidRPr="0080490E">
        <w:rPr>
          <w:rFonts w:asciiTheme="minorHAnsi" w:hAnsiTheme="minorHAnsi" w:cstheme="minorHAnsi"/>
          <w:szCs w:val="24"/>
        </w:rPr>
        <w:t xml:space="preserve">Independientemente de su denominación, estas operaciones de emisión y adquisición de tokens implican </w:t>
      </w:r>
      <w:r w:rsidR="00CD4C5C" w:rsidRPr="0080490E">
        <w:rPr>
          <w:rFonts w:asciiTheme="minorHAnsi" w:hAnsiTheme="minorHAnsi" w:cstheme="minorHAnsi"/>
          <w:szCs w:val="24"/>
        </w:rPr>
        <w:t xml:space="preserve">que un inversor a través de un </w:t>
      </w:r>
      <w:proofErr w:type="spellStart"/>
      <w:r w:rsidR="00CD4C5C" w:rsidRPr="0080490E">
        <w:rPr>
          <w:rFonts w:asciiTheme="minorHAnsi" w:hAnsiTheme="minorHAnsi" w:cstheme="minorHAnsi"/>
          <w:i/>
          <w:szCs w:val="24"/>
        </w:rPr>
        <w:t>smart</w:t>
      </w:r>
      <w:proofErr w:type="spellEnd"/>
      <w:r w:rsidR="00CD4C5C" w:rsidRPr="0080490E">
        <w:rPr>
          <w:rFonts w:asciiTheme="minorHAnsi" w:hAnsiTheme="minorHAnsi" w:cstheme="minorHAnsi"/>
          <w:i/>
          <w:szCs w:val="24"/>
        </w:rPr>
        <w:t xml:space="preserve"> </w:t>
      </w:r>
      <w:proofErr w:type="spellStart"/>
      <w:r w:rsidR="00CD4C5C" w:rsidRPr="0080490E">
        <w:rPr>
          <w:rFonts w:asciiTheme="minorHAnsi" w:hAnsiTheme="minorHAnsi" w:cstheme="minorHAnsi"/>
          <w:i/>
          <w:szCs w:val="24"/>
        </w:rPr>
        <w:t>contract</w:t>
      </w:r>
      <w:proofErr w:type="spellEnd"/>
      <w:r w:rsidR="00CD4C5C" w:rsidRPr="0080490E">
        <w:rPr>
          <w:rFonts w:asciiTheme="minorHAnsi" w:hAnsiTheme="minorHAnsi" w:cstheme="minorHAnsi"/>
          <w:szCs w:val="24"/>
        </w:rPr>
        <w:t xml:space="preserve"> aporta criptomonedas </w:t>
      </w:r>
      <w:r w:rsidR="00A10165" w:rsidRPr="0080490E">
        <w:rPr>
          <w:rFonts w:asciiTheme="minorHAnsi" w:hAnsiTheme="minorHAnsi" w:cstheme="minorHAnsi"/>
          <w:szCs w:val="24"/>
        </w:rPr>
        <w:t xml:space="preserve">o dinero de curso legal </w:t>
      </w:r>
      <w:r w:rsidR="00CD4C5C" w:rsidRPr="0080490E">
        <w:rPr>
          <w:rFonts w:asciiTheme="minorHAnsi" w:hAnsiTheme="minorHAnsi" w:cstheme="minorHAnsi"/>
          <w:szCs w:val="24"/>
        </w:rPr>
        <w:t>a cambio de un token</w:t>
      </w:r>
      <w:r w:rsidR="00C72061" w:rsidRPr="0080490E">
        <w:rPr>
          <w:rStyle w:val="Refdenotaalpie"/>
          <w:rFonts w:asciiTheme="minorHAnsi" w:hAnsiTheme="minorHAnsi" w:cstheme="minorHAnsi"/>
          <w:szCs w:val="24"/>
        </w:rPr>
        <w:footnoteReference w:id="12"/>
      </w:r>
      <w:r w:rsidR="00E53C02" w:rsidRPr="0080490E">
        <w:rPr>
          <w:rFonts w:asciiTheme="minorHAnsi" w:hAnsiTheme="minorHAnsi" w:cstheme="minorHAnsi"/>
          <w:szCs w:val="24"/>
        </w:rPr>
        <w:t>.</w:t>
      </w:r>
      <w:r w:rsidR="00CD4C5C" w:rsidRPr="0080490E">
        <w:rPr>
          <w:rFonts w:asciiTheme="minorHAnsi" w:hAnsiTheme="minorHAnsi" w:cstheme="minorHAnsi"/>
          <w:szCs w:val="24"/>
        </w:rPr>
        <w:t xml:space="preserve"> </w:t>
      </w:r>
      <w:r w:rsidR="00B65943" w:rsidRPr="0080490E">
        <w:rPr>
          <w:rFonts w:asciiTheme="minorHAnsi" w:hAnsiTheme="minorHAnsi" w:cstheme="minorHAnsi"/>
          <w:szCs w:val="24"/>
        </w:rPr>
        <w:t>Este token, como se ha apuntado, puede representar diversas realidades: un derecho a participar en las ganancias generadas por la entidad financiada, el reconocimiento de una deuda por parte de</w:t>
      </w:r>
      <w:r w:rsidR="0011072F" w:rsidRPr="0080490E">
        <w:rPr>
          <w:rFonts w:asciiTheme="minorHAnsi" w:hAnsiTheme="minorHAnsi" w:cstheme="minorHAnsi"/>
          <w:szCs w:val="24"/>
        </w:rPr>
        <w:t>l</w:t>
      </w:r>
      <w:r w:rsidR="00B65943" w:rsidRPr="0080490E">
        <w:rPr>
          <w:rFonts w:asciiTheme="minorHAnsi" w:hAnsiTheme="minorHAnsi" w:cstheme="minorHAnsi"/>
          <w:szCs w:val="24"/>
        </w:rPr>
        <w:t xml:space="preserve"> emisor de los tokens, el acceso futuro a un producto o servicio, o la propia condición de inversor.</w:t>
      </w:r>
    </w:p>
    <w:p w14:paraId="17B3FA09" w14:textId="083E582F" w:rsidR="00347945" w:rsidRPr="0080490E" w:rsidRDefault="00D561BF"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L</w:t>
      </w:r>
      <w:r w:rsidR="00E53C02" w:rsidRPr="0080490E">
        <w:rPr>
          <w:rFonts w:asciiTheme="minorHAnsi" w:hAnsiTheme="minorHAnsi" w:cstheme="minorHAnsi"/>
          <w:szCs w:val="24"/>
        </w:rPr>
        <w:t>as</w:t>
      </w:r>
      <w:r w:rsidRPr="0080490E">
        <w:rPr>
          <w:rFonts w:asciiTheme="minorHAnsi" w:hAnsiTheme="minorHAnsi" w:cstheme="minorHAnsi"/>
          <w:szCs w:val="24"/>
        </w:rPr>
        <w:t xml:space="preserve"> </w:t>
      </w:r>
      <w:proofErr w:type="spellStart"/>
      <w:r w:rsidR="0011072F" w:rsidRPr="0080490E">
        <w:rPr>
          <w:rFonts w:asciiTheme="minorHAnsi" w:hAnsiTheme="minorHAnsi" w:cstheme="minorHAnsi"/>
          <w:i/>
          <w:szCs w:val="24"/>
        </w:rPr>
        <w:t>initial</w:t>
      </w:r>
      <w:proofErr w:type="spellEnd"/>
      <w:r w:rsidR="0011072F" w:rsidRPr="0080490E">
        <w:rPr>
          <w:rFonts w:asciiTheme="minorHAnsi" w:hAnsiTheme="minorHAnsi" w:cstheme="minorHAnsi"/>
          <w:i/>
          <w:szCs w:val="24"/>
        </w:rPr>
        <w:t xml:space="preserve"> </w:t>
      </w:r>
      <w:proofErr w:type="spellStart"/>
      <w:r w:rsidR="00E53C02" w:rsidRPr="0080490E">
        <w:rPr>
          <w:rFonts w:asciiTheme="minorHAnsi" w:hAnsiTheme="minorHAnsi" w:cstheme="minorHAnsi"/>
          <w:i/>
          <w:szCs w:val="24"/>
        </w:rPr>
        <w:t>coin</w:t>
      </w:r>
      <w:proofErr w:type="spellEnd"/>
      <w:r w:rsidR="00E53C02" w:rsidRPr="0080490E">
        <w:rPr>
          <w:rFonts w:asciiTheme="minorHAnsi" w:hAnsiTheme="minorHAnsi" w:cstheme="minorHAnsi"/>
          <w:i/>
          <w:szCs w:val="24"/>
        </w:rPr>
        <w:t xml:space="preserve"> </w:t>
      </w:r>
      <w:proofErr w:type="spellStart"/>
      <w:r w:rsidR="00E53C02" w:rsidRPr="0080490E">
        <w:rPr>
          <w:rFonts w:asciiTheme="minorHAnsi" w:hAnsiTheme="minorHAnsi" w:cstheme="minorHAnsi"/>
          <w:i/>
          <w:szCs w:val="24"/>
        </w:rPr>
        <w:t>offering</w:t>
      </w:r>
      <w:r w:rsidR="00D96E2A" w:rsidRPr="0080490E">
        <w:rPr>
          <w:rFonts w:asciiTheme="minorHAnsi" w:hAnsiTheme="minorHAnsi" w:cstheme="minorHAnsi"/>
          <w:i/>
          <w:szCs w:val="24"/>
        </w:rPr>
        <w:t>s</w:t>
      </w:r>
      <w:proofErr w:type="spellEnd"/>
      <w:r w:rsidR="00E53C02" w:rsidRPr="0080490E">
        <w:rPr>
          <w:rFonts w:asciiTheme="minorHAnsi" w:hAnsiTheme="minorHAnsi" w:cstheme="minorHAnsi"/>
          <w:szCs w:val="24"/>
        </w:rPr>
        <w:t xml:space="preserve"> o </w:t>
      </w:r>
      <w:proofErr w:type="spellStart"/>
      <w:r w:rsidR="00E53C02" w:rsidRPr="0080490E">
        <w:rPr>
          <w:rFonts w:asciiTheme="minorHAnsi" w:hAnsiTheme="minorHAnsi" w:cstheme="minorHAnsi"/>
          <w:i/>
          <w:szCs w:val="24"/>
        </w:rPr>
        <w:t>security</w:t>
      </w:r>
      <w:proofErr w:type="spellEnd"/>
      <w:r w:rsidR="00E53C02" w:rsidRPr="0080490E">
        <w:rPr>
          <w:rFonts w:asciiTheme="minorHAnsi" w:hAnsiTheme="minorHAnsi" w:cstheme="minorHAnsi"/>
          <w:i/>
          <w:szCs w:val="24"/>
        </w:rPr>
        <w:t xml:space="preserve"> tokens </w:t>
      </w:r>
      <w:proofErr w:type="spellStart"/>
      <w:r w:rsidR="00E53C02" w:rsidRPr="0080490E">
        <w:rPr>
          <w:rFonts w:asciiTheme="minorHAnsi" w:hAnsiTheme="minorHAnsi" w:cstheme="minorHAnsi"/>
          <w:i/>
          <w:szCs w:val="24"/>
        </w:rPr>
        <w:t>offering</w:t>
      </w:r>
      <w:r w:rsidR="00D96E2A" w:rsidRPr="0080490E">
        <w:rPr>
          <w:rFonts w:asciiTheme="minorHAnsi" w:hAnsiTheme="minorHAnsi" w:cstheme="minorHAnsi"/>
          <w:i/>
          <w:szCs w:val="24"/>
        </w:rPr>
        <w:t>s</w:t>
      </w:r>
      <w:proofErr w:type="spellEnd"/>
      <w:r w:rsidR="00E53C02" w:rsidRPr="0080490E">
        <w:rPr>
          <w:rFonts w:asciiTheme="minorHAnsi" w:hAnsiTheme="minorHAnsi" w:cstheme="minorHAnsi"/>
          <w:szCs w:val="24"/>
        </w:rPr>
        <w:t xml:space="preserve"> constituyen</w:t>
      </w:r>
      <w:r w:rsidR="00A111E4" w:rsidRPr="0080490E">
        <w:rPr>
          <w:rFonts w:asciiTheme="minorHAnsi" w:hAnsiTheme="minorHAnsi" w:cstheme="minorHAnsi"/>
          <w:szCs w:val="24"/>
        </w:rPr>
        <w:t>, en todo caso,</w:t>
      </w:r>
      <w:r w:rsidR="001B463D" w:rsidRPr="0080490E">
        <w:rPr>
          <w:rFonts w:asciiTheme="minorHAnsi" w:hAnsiTheme="minorHAnsi" w:cstheme="minorHAnsi"/>
          <w:szCs w:val="24"/>
        </w:rPr>
        <w:t xml:space="preserve"> genéricas</w:t>
      </w:r>
      <w:r w:rsidR="000C405A" w:rsidRPr="0080490E">
        <w:rPr>
          <w:rFonts w:asciiTheme="minorHAnsi" w:hAnsiTheme="minorHAnsi" w:cstheme="minorHAnsi"/>
          <w:szCs w:val="24"/>
        </w:rPr>
        <w:t xml:space="preserve"> ofertas de </w:t>
      </w:r>
      <w:r w:rsidR="00C60C05" w:rsidRPr="0080490E">
        <w:rPr>
          <w:rFonts w:asciiTheme="minorHAnsi" w:hAnsiTheme="minorHAnsi" w:cstheme="minorHAnsi"/>
          <w:szCs w:val="24"/>
        </w:rPr>
        <w:t xml:space="preserve">venta de </w:t>
      </w:r>
      <w:r w:rsidR="000C405A" w:rsidRPr="0080490E">
        <w:rPr>
          <w:rFonts w:asciiTheme="minorHAnsi" w:hAnsiTheme="minorHAnsi" w:cstheme="minorHAnsi"/>
          <w:szCs w:val="24"/>
        </w:rPr>
        <w:t>tokens por parte de</w:t>
      </w:r>
      <w:r w:rsidR="00F10674" w:rsidRPr="0080490E">
        <w:rPr>
          <w:rFonts w:asciiTheme="minorHAnsi" w:hAnsiTheme="minorHAnsi" w:cstheme="minorHAnsi"/>
          <w:szCs w:val="24"/>
        </w:rPr>
        <w:t>l</w:t>
      </w:r>
      <w:r w:rsidR="000C405A" w:rsidRPr="0080490E">
        <w:rPr>
          <w:rFonts w:asciiTheme="minorHAnsi" w:hAnsiTheme="minorHAnsi" w:cstheme="minorHAnsi"/>
          <w:szCs w:val="24"/>
        </w:rPr>
        <w:t xml:space="preserve"> </w:t>
      </w:r>
      <w:r w:rsidR="00F10674" w:rsidRPr="0080490E">
        <w:rPr>
          <w:rFonts w:asciiTheme="minorHAnsi" w:hAnsiTheme="minorHAnsi" w:cstheme="minorHAnsi"/>
          <w:szCs w:val="24"/>
        </w:rPr>
        <w:t>emisor</w:t>
      </w:r>
      <w:r w:rsidR="00B65943" w:rsidRPr="0080490E">
        <w:rPr>
          <w:rFonts w:asciiTheme="minorHAnsi" w:hAnsiTheme="minorHAnsi" w:cstheme="minorHAnsi"/>
          <w:szCs w:val="24"/>
        </w:rPr>
        <w:t>, con el fin de atraer inversores que financi</w:t>
      </w:r>
      <w:r w:rsidR="00F10674" w:rsidRPr="0080490E">
        <w:rPr>
          <w:rFonts w:asciiTheme="minorHAnsi" w:hAnsiTheme="minorHAnsi" w:cstheme="minorHAnsi"/>
          <w:szCs w:val="24"/>
        </w:rPr>
        <w:t>en</w:t>
      </w:r>
      <w:r w:rsidR="00B65943" w:rsidRPr="0080490E">
        <w:rPr>
          <w:rFonts w:asciiTheme="minorHAnsi" w:hAnsiTheme="minorHAnsi" w:cstheme="minorHAnsi"/>
          <w:szCs w:val="24"/>
        </w:rPr>
        <w:t xml:space="preserve"> sus actividades a cambio </w:t>
      </w:r>
      <w:r w:rsidR="000C405A" w:rsidRPr="0080490E">
        <w:rPr>
          <w:rFonts w:asciiTheme="minorHAnsi" w:hAnsiTheme="minorHAnsi" w:cstheme="minorHAnsi"/>
          <w:szCs w:val="24"/>
        </w:rPr>
        <w:t xml:space="preserve">de unos “derechos” </w:t>
      </w:r>
      <w:r w:rsidR="00160E72" w:rsidRPr="0080490E">
        <w:rPr>
          <w:rFonts w:asciiTheme="minorHAnsi" w:hAnsiTheme="minorHAnsi" w:cstheme="minorHAnsi"/>
          <w:szCs w:val="24"/>
        </w:rPr>
        <w:t xml:space="preserve">potenciales y </w:t>
      </w:r>
      <w:r w:rsidR="000C405A" w:rsidRPr="0080490E">
        <w:rPr>
          <w:rFonts w:asciiTheme="minorHAnsi" w:hAnsiTheme="minorHAnsi" w:cstheme="minorHAnsi"/>
          <w:szCs w:val="24"/>
        </w:rPr>
        <w:t>futuros</w:t>
      </w:r>
      <w:r w:rsidR="00C60C05" w:rsidRPr="0080490E">
        <w:rPr>
          <w:rFonts w:asciiTheme="minorHAnsi" w:hAnsiTheme="minorHAnsi" w:cstheme="minorHAnsi"/>
          <w:szCs w:val="24"/>
        </w:rPr>
        <w:t xml:space="preserve"> que se instrumentaliza</w:t>
      </w:r>
      <w:r w:rsidR="001B463D" w:rsidRPr="0080490E">
        <w:rPr>
          <w:rFonts w:asciiTheme="minorHAnsi" w:hAnsiTheme="minorHAnsi" w:cstheme="minorHAnsi"/>
          <w:szCs w:val="24"/>
        </w:rPr>
        <w:t>n</w:t>
      </w:r>
      <w:r w:rsidR="00C60C05" w:rsidRPr="0080490E">
        <w:rPr>
          <w:rFonts w:asciiTheme="minorHAnsi" w:hAnsiTheme="minorHAnsi" w:cstheme="minorHAnsi"/>
          <w:szCs w:val="24"/>
        </w:rPr>
        <w:t xml:space="preserve"> a través de una cadena de bloques</w:t>
      </w:r>
      <w:r w:rsidR="000C405A" w:rsidRPr="0080490E">
        <w:rPr>
          <w:rFonts w:asciiTheme="minorHAnsi" w:hAnsiTheme="minorHAnsi" w:cstheme="minorHAnsi"/>
          <w:szCs w:val="24"/>
        </w:rPr>
        <w:t>.</w:t>
      </w:r>
      <w:r w:rsidR="0011072F" w:rsidRPr="0080490E">
        <w:rPr>
          <w:rFonts w:asciiTheme="minorHAnsi" w:hAnsiTheme="minorHAnsi" w:cstheme="minorHAnsi"/>
          <w:szCs w:val="24"/>
        </w:rPr>
        <w:t xml:space="preserve"> </w:t>
      </w:r>
      <w:r w:rsidR="00347945" w:rsidRPr="0080490E">
        <w:rPr>
          <w:rFonts w:asciiTheme="minorHAnsi" w:hAnsiTheme="minorHAnsi" w:cstheme="minorHAnsi"/>
          <w:szCs w:val="24"/>
        </w:rPr>
        <w:t>Estas operaciones</w:t>
      </w:r>
      <w:r w:rsidR="00587C52" w:rsidRPr="0080490E">
        <w:rPr>
          <w:rFonts w:asciiTheme="minorHAnsi" w:hAnsiTheme="minorHAnsi" w:cstheme="minorHAnsi"/>
          <w:szCs w:val="24"/>
        </w:rPr>
        <w:t xml:space="preserve"> configuran</w:t>
      </w:r>
      <w:r w:rsidR="00347945" w:rsidRPr="0080490E">
        <w:rPr>
          <w:rFonts w:asciiTheme="minorHAnsi" w:hAnsiTheme="minorHAnsi" w:cstheme="minorHAnsi"/>
          <w:szCs w:val="24"/>
        </w:rPr>
        <w:t xml:space="preserve">, en cierta medida, una versión tecnológica del </w:t>
      </w:r>
      <w:r w:rsidR="00347945" w:rsidRPr="0080490E">
        <w:rPr>
          <w:rFonts w:asciiTheme="minorHAnsi" w:hAnsiTheme="minorHAnsi" w:cstheme="minorHAnsi"/>
          <w:i/>
          <w:szCs w:val="24"/>
        </w:rPr>
        <w:t>crowdfunding</w:t>
      </w:r>
      <w:r w:rsidR="00347945" w:rsidRPr="0080490E">
        <w:rPr>
          <w:rFonts w:asciiTheme="minorHAnsi" w:hAnsiTheme="minorHAnsi" w:cstheme="minorHAnsi"/>
          <w:szCs w:val="24"/>
        </w:rPr>
        <w:t xml:space="preserve"> colaborativo en el que la financiación de un proyecto se logra a través de contribuciones de un grupo de individuos</w:t>
      </w:r>
      <w:r w:rsidR="00347945" w:rsidRPr="0080490E">
        <w:rPr>
          <w:rStyle w:val="Refdenotaalpie"/>
          <w:rFonts w:asciiTheme="minorHAnsi" w:hAnsiTheme="minorHAnsi" w:cstheme="minorHAnsi"/>
          <w:szCs w:val="24"/>
        </w:rPr>
        <w:footnoteReference w:id="13"/>
      </w:r>
      <w:r w:rsidR="00347945" w:rsidRPr="0080490E">
        <w:rPr>
          <w:rFonts w:asciiTheme="minorHAnsi" w:hAnsiTheme="minorHAnsi" w:cstheme="minorHAnsi"/>
          <w:szCs w:val="24"/>
        </w:rPr>
        <w:t>.</w:t>
      </w:r>
    </w:p>
    <w:p w14:paraId="603C850D" w14:textId="77777777" w:rsidR="00086C6C" w:rsidRPr="0080490E" w:rsidRDefault="0096074C"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Uno de los grandes problemas </w:t>
      </w:r>
      <w:r w:rsidR="00C8478E" w:rsidRPr="0080490E">
        <w:rPr>
          <w:rFonts w:asciiTheme="minorHAnsi" w:hAnsiTheme="minorHAnsi" w:cstheme="minorHAnsi"/>
          <w:szCs w:val="24"/>
        </w:rPr>
        <w:t>de</w:t>
      </w:r>
      <w:r w:rsidRPr="0080490E">
        <w:rPr>
          <w:rFonts w:asciiTheme="minorHAnsi" w:hAnsiTheme="minorHAnsi" w:cstheme="minorHAnsi"/>
          <w:szCs w:val="24"/>
        </w:rPr>
        <w:t xml:space="preserve"> la tokenización ha sido su </w:t>
      </w:r>
      <w:r w:rsidR="000C405A" w:rsidRPr="0080490E">
        <w:rPr>
          <w:rFonts w:asciiTheme="minorHAnsi" w:hAnsiTheme="minorHAnsi" w:cstheme="minorHAnsi"/>
          <w:szCs w:val="24"/>
        </w:rPr>
        <w:t>falta de regulación</w:t>
      </w:r>
      <w:r w:rsidRPr="0080490E">
        <w:rPr>
          <w:rFonts w:asciiTheme="minorHAnsi" w:hAnsiTheme="minorHAnsi" w:cstheme="minorHAnsi"/>
          <w:szCs w:val="24"/>
        </w:rPr>
        <w:t xml:space="preserve">. </w:t>
      </w:r>
      <w:r w:rsidR="00812B17" w:rsidRPr="0080490E">
        <w:rPr>
          <w:rFonts w:asciiTheme="minorHAnsi" w:hAnsiTheme="minorHAnsi" w:cstheme="minorHAnsi"/>
          <w:szCs w:val="24"/>
        </w:rPr>
        <w:t>Por esta razón, la inversión en tokens se ha basado en la confianza de los inversores en la veracidad de los proyectos y la profesionalidad de las entidades financiadas</w:t>
      </w:r>
      <w:r w:rsidR="000C405A" w:rsidRPr="0080490E">
        <w:rPr>
          <w:rFonts w:asciiTheme="minorHAnsi" w:hAnsiTheme="minorHAnsi" w:cstheme="minorHAnsi"/>
          <w:szCs w:val="24"/>
        </w:rPr>
        <w:t xml:space="preserve">. </w:t>
      </w:r>
      <w:r w:rsidR="0011072F" w:rsidRPr="0080490E">
        <w:rPr>
          <w:rFonts w:asciiTheme="minorHAnsi" w:hAnsiTheme="minorHAnsi" w:cstheme="minorHAnsi"/>
          <w:szCs w:val="24"/>
        </w:rPr>
        <w:t>No obstante, e</w:t>
      </w:r>
      <w:r w:rsidRPr="0080490E">
        <w:rPr>
          <w:rFonts w:asciiTheme="minorHAnsi" w:hAnsiTheme="minorHAnsi" w:cstheme="minorHAnsi"/>
          <w:szCs w:val="24"/>
        </w:rPr>
        <w:t>s fácil comprender que l</w:t>
      </w:r>
      <w:r w:rsidR="00347945" w:rsidRPr="0080490E">
        <w:rPr>
          <w:rFonts w:asciiTheme="minorHAnsi" w:hAnsiTheme="minorHAnsi" w:cstheme="minorHAnsi"/>
          <w:szCs w:val="24"/>
        </w:rPr>
        <w:t xml:space="preserve">a asimetría informativa </w:t>
      </w:r>
      <w:r w:rsidR="0011072F" w:rsidRPr="0080490E">
        <w:rPr>
          <w:rFonts w:asciiTheme="minorHAnsi" w:hAnsiTheme="minorHAnsi" w:cstheme="minorHAnsi"/>
          <w:szCs w:val="24"/>
        </w:rPr>
        <w:t xml:space="preserve">de estas operaciones </w:t>
      </w:r>
      <w:r w:rsidR="00812B17" w:rsidRPr="0080490E">
        <w:rPr>
          <w:rFonts w:asciiTheme="minorHAnsi" w:hAnsiTheme="minorHAnsi" w:cstheme="minorHAnsi"/>
          <w:szCs w:val="24"/>
        </w:rPr>
        <w:t xml:space="preserve">y el </w:t>
      </w:r>
      <w:r w:rsidR="003A3DBC" w:rsidRPr="0080490E">
        <w:rPr>
          <w:rFonts w:asciiTheme="minorHAnsi" w:hAnsiTheme="minorHAnsi" w:cstheme="minorHAnsi"/>
          <w:szCs w:val="24"/>
        </w:rPr>
        <w:t xml:space="preserve">consiguiente </w:t>
      </w:r>
      <w:r w:rsidR="00812B17" w:rsidRPr="0080490E">
        <w:rPr>
          <w:rFonts w:asciiTheme="minorHAnsi" w:hAnsiTheme="minorHAnsi" w:cstheme="minorHAnsi"/>
          <w:szCs w:val="24"/>
        </w:rPr>
        <w:t xml:space="preserve">riesgo de fraude </w:t>
      </w:r>
      <w:r w:rsidR="00587C52" w:rsidRPr="0080490E">
        <w:rPr>
          <w:rFonts w:asciiTheme="minorHAnsi" w:hAnsiTheme="minorHAnsi" w:cstheme="minorHAnsi"/>
          <w:szCs w:val="24"/>
        </w:rPr>
        <w:t>supon</w:t>
      </w:r>
      <w:r w:rsidR="0011072F" w:rsidRPr="0080490E">
        <w:rPr>
          <w:rFonts w:asciiTheme="minorHAnsi" w:hAnsiTheme="minorHAnsi" w:cstheme="minorHAnsi"/>
          <w:szCs w:val="24"/>
        </w:rPr>
        <w:t>e</w:t>
      </w:r>
      <w:r w:rsidR="00587C52" w:rsidRPr="0080490E">
        <w:rPr>
          <w:rFonts w:asciiTheme="minorHAnsi" w:hAnsiTheme="minorHAnsi" w:cstheme="minorHAnsi"/>
          <w:szCs w:val="24"/>
        </w:rPr>
        <w:t>n</w:t>
      </w:r>
      <w:r w:rsidR="00812B17" w:rsidRPr="0080490E">
        <w:rPr>
          <w:rFonts w:asciiTheme="minorHAnsi" w:hAnsiTheme="minorHAnsi" w:cstheme="minorHAnsi"/>
          <w:szCs w:val="24"/>
        </w:rPr>
        <w:t xml:space="preserve"> externalidades negativas para su </w:t>
      </w:r>
      <w:r w:rsidR="0011072F" w:rsidRPr="0080490E">
        <w:rPr>
          <w:rFonts w:asciiTheme="minorHAnsi" w:hAnsiTheme="minorHAnsi" w:cstheme="minorHAnsi"/>
          <w:szCs w:val="24"/>
        </w:rPr>
        <w:t>generalización</w:t>
      </w:r>
      <w:r w:rsidR="00347945" w:rsidRPr="0080490E">
        <w:rPr>
          <w:rFonts w:asciiTheme="minorHAnsi" w:hAnsiTheme="minorHAnsi" w:cstheme="minorHAnsi"/>
          <w:szCs w:val="24"/>
        </w:rPr>
        <w:t>.</w:t>
      </w:r>
    </w:p>
    <w:p w14:paraId="08666E0A" w14:textId="40BB835B" w:rsidR="00773FD8" w:rsidRPr="0080490E" w:rsidRDefault="00A111E4"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E</w:t>
      </w:r>
      <w:r w:rsidR="00812B17" w:rsidRPr="0080490E">
        <w:rPr>
          <w:rFonts w:asciiTheme="minorHAnsi" w:hAnsiTheme="minorHAnsi" w:cstheme="minorHAnsi"/>
          <w:szCs w:val="24"/>
        </w:rPr>
        <w:t xml:space="preserve">l </w:t>
      </w:r>
      <w:r w:rsidR="00587C52" w:rsidRPr="0080490E">
        <w:rPr>
          <w:rFonts w:asciiTheme="minorHAnsi" w:hAnsiTheme="minorHAnsi" w:cstheme="minorHAnsi"/>
          <w:szCs w:val="24"/>
        </w:rPr>
        <w:t>creciente</w:t>
      </w:r>
      <w:r w:rsidR="00812B17" w:rsidRPr="0080490E">
        <w:rPr>
          <w:rFonts w:asciiTheme="minorHAnsi" w:hAnsiTheme="minorHAnsi" w:cstheme="minorHAnsi"/>
          <w:szCs w:val="24"/>
        </w:rPr>
        <w:t xml:space="preserve"> número de operaciones</w:t>
      </w:r>
      <w:r w:rsidR="00C50153" w:rsidRPr="0080490E">
        <w:rPr>
          <w:rFonts w:asciiTheme="minorHAnsi" w:hAnsiTheme="minorHAnsi" w:cstheme="minorHAnsi"/>
          <w:szCs w:val="24"/>
        </w:rPr>
        <w:t xml:space="preserve"> de tokenización</w:t>
      </w:r>
      <w:r w:rsidR="00812B17" w:rsidRPr="0080490E">
        <w:rPr>
          <w:rFonts w:asciiTheme="minorHAnsi" w:hAnsiTheme="minorHAnsi" w:cstheme="minorHAnsi"/>
          <w:szCs w:val="24"/>
        </w:rPr>
        <w:t xml:space="preserve">, el aumento </w:t>
      </w:r>
      <w:r w:rsidR="00587C52" w:rsidRPr="0080490E">
        <w:rPr>
          <w:rFonts w:asciiTheme="minorHAnsi" w:hAnsiTheme="minorHAnsi" w:cstheme="minorHAnsi"/>
          <w:szCs w:val="24"/>
        </w:rPr>
        <w:t>d</w:t>
      </w:r>
      <w:r w:rsidR="00812B17" w:rsidRPr="0080490E">
        <w:rPr>
          <w:rFonts w:asciiTheme="minorHAnsi" w:hAnsiTheme="minorHAnsi" w:cstheme="minorHAnsi"/>
          <w:szCs w:val="24"/>
        </w:rPr>
        <w:t>el volumen financia</w:t>
      </w:r>
      <w:r w:rsidR="00587C52" w:rsidRPr="0080490E">
        <w:rPr>
          <w:rFonts w:asciiTheme="minorHAnsi" w:hAnsiTheme="minorHAnsi" w:cstheme="minorHAnsi"/>
          <w:szCs w:val="24"/>
        </w:rPr>
        <w:t>do</w:t>
      </w:r>
      <w:r w:rsidR="00812B17" w:rsidRPr="0080490E">
        <w:rPr>
          <w:rFonts w:asciiTheme="minorHAnsi" w:hAnsiTheme="minorHAnsi" w:cstheme="minorHAnsi"/>
          <w:szCs w:val="24"/>
        </w:rPr>
        <w:t xml:space="preserve">, su naturaleza especulativa y los riesgos inherentes para los inversores han </w:t>
      </w:r>
      <w:r w:rsidR="00C50153" w:rsidRPr="0080490E">
        <w:rPr>
          <w:rFonts w:asciiTheme="minorHAnsi" w:hAnsiTheme="minorHAnsi" w:cstheme="minorHAnsi"/>
          <w:szCs w:val="24"/>
        </w:rPr>
        <w:t xml:space="preserve">terminado por </w:t>
      </w:r>
      <w:r w:rsidR="00812B17" w:rsidRPr="0080490E">
        <w:rPr>
          <w:rFonts w:asciiTheme="minorHAnsi" w:hAnsiTheme="minorHAnsi" w:cstheme="minorHAnsi"/>
          <w:szCs w:val="24"/>
        </w:rPr>
        <w:t>capta</w:t>
      </w:r>
      <w:r w:rsidR="00C50153" w:rsidRPr="0080490E">
        <w:rPr>
          <w:rFonts w:asciiTheme="minorHAnsi" w:hAnsiTheme="minorHAnsi" w:cstheme="minorHAnsi"/>
          <w:szCs w:val="24"/>
        </w:rPr>
        <w:t>r</w:t>
      </w:r>
      <w:r w:rsidR="00812B17" w:rsidRPr="0080490E">
        <w:rPr>
          <w:rFonts w:asciiTheme="minorHAnsi" w:hAnsiTheme="minorHAnsi" w:cstheme="minorHAnsi"/>
          <w:szCs w:val="24"/>
        </w:rPr>
        <w:t xml:space="preserve"> la atención del legislador</w:t>
      </w:r>
      <w:r w:rsidR="004E6769" w:rsidRPr="0080490E">
        <w:rPr>
          <w:rFonts w:asciiTheme="minorHAnsi" w:hAnsiTheme="minorHAnsi" w:cstheme="minorHAnsi"/>
          <w:szCs w:val="24"/>
        </w:rPr>
        <w:t>.</w:t>
      </w:r>
      <w:r w:rsidR="003A3DBC" w:rsidRPr="0080490E">
        <w:rPr>
          <w:rFonts w:asciiTheme="minorHAnsi" w:hAnsiTheme="minorHAnsi" w:cstheme="minorHAnsi"/>
          <w:szCs w:val="24"/>
        </w:rPr>
        <w:t xml:space="preserve"> </w:t>
      </w:r>
      <w:r w:rsidR="007C5592" w:rsidRPr="0080490E">
        <w:rPr>
          <w:rFonts w:asciiTheme="minorHAnsi" w:hAnsiTheme="minorHAnsi" w:cstheme="minorHAnsi"/>
          <w:szCs w:val="24"/>
        </w:rPr>
        <w:t xml:space="preserve">Sin embargo, la regulación de los criptoactivos es </w:t>
      </w:r>
      <w:r w:rsidR="00E53C02" w:rsidRPr="0080490E">
        <w:rPr>
          <w:rFonts w:asciiTheme="minorHAnsi" w:hAnsiTheme="minorHAnsi" w:cstheme="minorHAnsi"/>
          <w:szCs w:val="24"/>
        </w:rPr>
        <w:t xml:space="preserve">todavía </w:t>
      </w:r>
      <w:r w:rsidR="007C5592" w:rsidRPr="0080490E">
        <w:rPr>
          <w:rFonts w:asciiTheme="minorHAnsi" w:hAnsiTheme="minorHAnsi" w:cstheme="minorHAnsi"/>
          <w:szCs w:val="24"/>
        </w:rPr>
        <w:t xml:space="preserve">parcial y </w:t>
      </w:r>
      <w:r w:rsidR="00812B17" w:rsidRPr="0080490E">
        <w:rPr>
          <w:rFonts w:asciiTheme="minorHAnsi" w:hAnsiTheme="minorHAnsi" w:cstheme="minorHAnsi"/>
          <w:szCs w:val="24"/>
        </w:rPr>
        <w:t>fragmentada</w:t>
      </w:r>
      <w:r w:rsidR="007C5592" w:rsidRPr="0080490E">
        <w:rPr>
          <w:rFonts w:asciiTheme="minorHAnsi" w:hAnsiTheme="minorHAnsi" w:cstheme="minorHAnsi"/>
          <w:szCs w:val="24"/>
        </w:rPr>
        <w:t>.</w:t>
      </w:r>
      <w:r w:rsidR="00812B17" w:rsidRPr="0080490E">
        <w:rPr>
          <w:rFonts w:asciiTheme="minorHAnsi" w:hAnsiTheme="minorHAnsi" w:cstheme="minorHAnsi"/>
          <w:szCs w:val="24"/>
        </w:rPr>
        <w:t xml:space="preserve"> </w:t>
      </w:r>
      <w:r w:rsidR="00816BAC" w:rsidRPr="0080490E">
        <w:rPr>
          <w:rFonts w:asciiTheme="minorHAnsi" w:hAnsiTheme="minorHAnsi" w:cstheme="minorHAnsi"/>
          <w:szCs w:val="24"/>
        </w:rPr>
        <w:t>L</w:t>
      </w:r>
      <w:r w:rsidR="00E53C02" w:rsidRPr="0080490E">
        <w:rPr>
          <w:rFonts w:asciiTheme="minorHAnsi" w:hAnsiTheme="minorHAnsi" w:cstheme="minorHAnsi"/>
          <w:szCs w:val="24"/>
        </w:rPr>
        <w:t>a Unión Europea ha tratado de paliar esta limitación</w:t>
      </w:r>
      <w:r w:rsidR="0050112F" w:rsidRPr="0080490E">
        <w:rPr>
          <w:rFonts w:asciiTheme="minorHAnsi" w:hAnsiTheme="minorHAnsi" w:cstheme="minorHAnsi"/>
          <w:szCs w:val="24"/>
        </w:rPr>
        <w:t xml:space="preserve">, </w:t>
      </w:r>
      <w:r w:rsidR="0050112F" w:rsidRPr="0080490E">
        <w:rPr>
          <w:rFonts w:asciiTheme="minorHAnsi" w:hAnsiTheme="minorHAnsi" w:cstheme="minorHAnsi"/>
          <w:szCs w:val="24"/>
        </w:rPr>
        <w:lastRenderedPageBreak/>
        <w:t>fundamentalmente,</w:t>
      </w:r>
      <w:r w:rsidR="00E53C02" w:rsidRPr="0080490E">
        <w:rPr>
          <w:rFonts w:asciiTheme="minorHAnsi" w:hAnsiTheme="minorHAnsi" w:cstheme="minorHAnsi"/>
          <w:szCs w:val="24"/>
        </w:rPr>
        <w:t xml:space="preserve"> a través de </w:t>
      </w:r>
      <w:r w:rsidR="00773FD8" w:rsidRPr="0080490E">
        <w:rPr>
          <w:rFonts w:asciiTheme="minorHAnsi" w:hAnsiTheme="minorHAnsi" w:cstheme="minorHAnsi"/>
          <w:szCs w:val="24"/>
        </w:rPr>
        <w:t xml:space="preserve">MiCA </w:t>
      </w:r>
      <w:r w:rsidR="00E53C02" w:rsidRPr="0080490E">
        <w:rPr>
          <w:rFonts w:asciiTheme="minorHAnsi" w:hAnsiTheme="minorHAnsi" w:cstheme="minorHAnsi"/>
          <w:szCs w:val="24"/>
        </w:rPr>
        <w:t xml:space="preserve">cuya aspiración </w:t>
      </w:r>
      <w:r w:rsidR="00773FD8" w:rsidRPr="0080490E">
        <w:rPr>
          <w:rFonts w:asciiTheme="minorHAnsi" w:hAnsiTheme="minorHAnsi" w:cstheme="minorHAnsi"/>
          <w:szCs w:val="24"/>
        </w:rPr>
        <w:t xml:space="preserve">es velar por la seguridad jurídica y la protección de los consumidores en los procesos de emisión de criptoactivos. </w:t>
      </w:r>
      <w:r w:rsidR="00812B17" w:rsidRPr="0080490E">
        <w:rPr>
          <w:rFonts w:asciiTheme="minorHAnsi" w:hAnsiTheme="minorHAnsi" w:cstheme="minorHAnsi"/>
          <w:szCs w:val="24"/>
        </w:rPr>
        <w:t xml:space="preserve">Para asegurar una adecuada información, reducir la asimetría informativa y prevenir problemas de selección adversa, las entidades emisoras deben publicar </w:t>
      </w:r>
      <w:r w:rsidR="00773FD8" w:rsidRPr="0080490E">
        <w:rPr>
          <w:rFonts w:asciiTheme="minorHAnsi" w:hAnsiTheme="minorHAnsi" w:cstheme="minorHAnsi"/>
          <w:szCs w:val="24"/>
        </w:rPr>
        <w:t>un libro blanco (</w:t>
      </w:r>
      <w:proofErr w:type="spellStart"/>
      <w:r w:rsidR="00773FD8" w:rsidRPr="0080490E">
        <w:rPr>
          <w:rFonts w:asciiTheme="minorHAnsi" w:hAnsiTheme="minorHAnsi" w:cstheme="minorHAnsi"/>
          <w:i/>
          <w:szCs w:val="24"/>
        </w:rPr>
        <w:t>whitepaper</w:t>
      </w:r>
      <w:proofErr w:type="spellEnd"/>
      <w:r w:rsidR="00773FD8" w:rsidRPr="0080490E">
        <w:rPr>
          <w:rFonts w:asciiTheme="minorHAnsi" w:hAnsiTheme="minorHAnsi" w:cstheme="minorHAnsi"/>
          <w:szCs w:val="24"/>
        </w:rPr>
        <w:t xml:space="preserve">) relativo a los criptoactivos que ofertan. Conforme a lo dispuesto en </w:t>
      </w:r>
      <w:r w:rsidR="009968E4" w:rsidRPr="0080490E">
        <w:rPr>
          <w:rFonts w:asciiTheme="minorHAnsi" w:hAnsiTheme="minorHAnsi" w:cstheme="minorHAnsi"/>
          <w:szCs w:val="24"/>
        </w:rPr>
        <w:t>el</w:t>
      </w:r>
      <w:r w:rsidR="00773FD8" w:rsidRPr="0080490E">
        <w:rPr>
          <w:rFonts w:asciiTheme="minorHAnsi" w:hAnsiTheme="minorHAnsi" w:cstheme="minorHAnsi"/>
          <w:szCs w:val="24"/>
        </w:rPr>
        <w:t xml:space="preserve"> Considerando 24 </w:t>
      </w:r>
      <w:r w:rsidR="009968E4" w:rsidRPr="0080490E">
        <w:rPr>
          <w:rFonts w:asciiTheme="minorHAnsi" w:hAnsiTheme="minorHAnsi" w:cstheme="minorHAnsi"/>
          <w:szCs w:val="24"/>
        </w:rPr>
        <w:t xml:space="preserve">MiCA </w:t>
      </w:r>
      <w:r w:rsidR="00773FD8" w:rsidRPr="0080490E">
        <w:rPr>
          <w:rFonts w:asciiTheme="minorHAnsi" w:hAnsiTheme="minorHAnsi" w:cstheme="minorHAnsi"/>
          <w:szCs w:val="24"/>
        </w:rPr>
        <w:t>«todo libro blanco de criptoactivos ha de incluir información de carácter general acerca del emisor, el oferente o la persona que solicite la admisión a negociación, el proyecto que se pretenda llevar a cabo con el capital obtenido, la oferta pública de criptoactivos o su admisión a negociación, los derechos y obligaciones asociados a los criptoactivos, la tecnología subyacente empleada en relación con tales criptoactivos y los riesgos correspondientes. No obstante, el libro blanco de criptoactivos no debe contener una descripción de riesgos imprevisibles y con poca probabilidad de materializarse. La información recogida en el libro blanco de criptoactivos y las comunicaciones publicitarias correspondientes, incluidos los mensajes publicitarios y el material publicitario, también a través de nuevos canales como las plataformas de redes sociales, debe ser imparcial, clara y no engañosa. Los mensajes publicitarios y el material publicitario deben ser coherentes con la información que figure en el libro blanco de criptoactivos»</w:t>
      </w:r>
      <w:r w:rsidR="00E53C02" w:rsidRPr="0080490E">
        <w:rPr>
          <w:rStyle w:val="Refdenotaalpie"/>
          <w:rFonts w:asciiTheme="minorHAnsi" w:hAnsiTheme="minorHAnsi" w:cstheme="minorHAnsi"/>
          <w:szCs w:val="24"/>
        </w:rPr>
        <w:footnoteReference w:id="14"/>
      </w:r>
      <w:r w:rsidR="00773FD8" w:rsidRPr="0080490E">
        <w:rPr>
          <w:rFonts w:asciiTheme="minorHAnsi" w:hAnsiTheme="minorHAnsi" w:cstheme="minorHAnsi"/>
          <w:szCs w:val="24"/>
        </w:rPr>
        <w:t>.</w:t>
      </w:r>
    </w:p>
    <w:p w14:paraId="1011BD68" w14:textId="59B140AB" w:rsidR="008F6AA6" w:rsidRPr="0080490E" w:rsidRDefault="00587C52" w:rsidP="0080490E">
      <w:pPr>
        <w:spacing w:after="0" w:line="276" w:lineRule="auto"/>
        <w:ind w:firstLine="0"/>
        <w:rPr>
          <w:rFonts w:asciiTheme="minorHAnsi" w:hAnsiTheme="minorHAnsi" w:cstheme="minorHAnsi"/>
          <w:szCs w:val="24"/>
        </w:rPr>
      </w:pPr>
      <w:r w:rsidRPr="0080490E">
        <w:rPr>
          <w:rFonts w:asciiTheme="minorHAnsi" w:hAnsiTheme="minorHAnsi" w:cstheme="minorHAnsi"/>
          <w:iCs/>
          <w:szCs w:val="24"/>
        </w:rPr>
        <w:t>C</w:t>
      </w:r>
      <w:r w:rsidR="00812B17" w:rsidRPr="0080490E">
        <w:rPr>
          <w:rFonts w:asciiTheme="minorHAnsi" w:hAnsiTheme="minorHAnsi" w:cstheme="minorHAnsi"/>
          <w:iCs/>
          <w:szCs w:val="24"/>
        </w:rPr>
        <w:t>omo se ha mencionado, MiCA no cubre todas las oportunidades que ofrecen los tokens. Los artículos 2.3 y 2.4 MiCA excluyen ciertos criptoactivos de su ámbito de aplicación</w:t>
      </w:r>
      <w:r w:rsidR="00856F90" w:rsidRPr="0080490E">
        <w:rPr>
          <w:rFonts w:asciiTheme="minorHAnsi" w:hAnsiTheme="minorHAnsi" w:cstheme="minorHAnsi"/>
          <w:iCs/>
          <w:szCs w:val="24"/>
        </w:rPr>
        <w:t xml:space="preserve">. Por un lado, el Reglamento no se aplica a los criptoactivos que sean únicos y no fungibles. </w:t>
      </w:r>
      <w:r w:rsidR="00812B17" w:rsidRPr="0080490E">
        <w:rPr>
          <w:rFonts w:asciiTheme="minorHAnsi" w:hAnsiTheme="minorHAnsi" w:cstheme="minorHAnsi"/>
          <w:iCs/>
          <w:szCs w:val="24"/>
        </w:rPr>
        <w:t xml:space="preserve">Por otro, </w:t>
      </w:r>
      <w:r w:rsidRPr="0080490E">
        <w:rPr>
          <w:rFonts w:asciiTheme="minorHAnsi" w:hAnsiTheme="minorHAnsi" w:cstheme="minorHAnsi"/>
          <w:iCs/>
          <w:szCs w:val="24"/>
        </w:rPr>
        <w:t xml:space="preserve">se </w:t>
      </w:r>
      <w:r w:rsidR="00812B17" w:rsidRPr="0080490E">
        <w:rPr>
          <w:rFonts w:asciiTheme="minorHAnsi" w:hAnsiTheme="minorHAnsi" w:cstheme="minorHAnsi"/>
          <w:iCs/>
          <w:szCs w:val="24"/>
        </w:rPr>
        <w:t>exclu</w:t>
      </w:r>
      <w:r w:rsidRPr="0080490E">
        <w:rPr>
          <w:rFonts w:asciiTheme="minorHAnsi" w:hAnsiTheme="minorHAnsi" w:cstheme="minorHAnsi"/>
          <w:iCs/>
          <w:szCs w:val="24"/>
        </w:rPr>
        <w:t xml:space="preserve">yen </w:t>
      </w:r>
      <w:r w:rsidR="00812B17" w:rsidRPr="0080490E">
        <w:rPr>
          <w:rFonts w:asciiTheme="minorHAnsi" w:hAnsiTheme="minorHAnsi" w:cstheme="minorHAnsi"/>
          <w:iCs/>
          <w:szCs w:val="24"/>
        </w:rPr>
        <w:t>los instrumentos financieros tokenizados</w:t>
      </w:r>
      <w:r w:rsidRPr="0080490E">
        <w:rPr>
          <w:rFonts w:asciiTheme="minorHAnsi" w:hAnsiTheme="minorHAnsi" w:cstheme="minorHAnsi"/>
          <w:iCs/>
          <w:szCs w:val="24"/>
        </w:rPr>
        <w:t xml:space="preserve"> que</w:t>
      </w:r>
      <w:r w:rsidR="00812B17" w:rsidRPr="0080490E">
        <w:rPr>
          <w:rFonts w:asciiTheme="minorHAnsi" w:hAnsiTheme="minorHAnsi" w:cstheme="minorHAnsi"/>
          <w:iCs/>
          <w:szCs w:val="24"/>
        </w:rPr>
        <w:t xml:space="preserve"> están sujetos a la Directiva 2014/65/UE del Parlamento Europeo y del Consejo de 15 de mayo de 2014 </w:t>
      </w:r>
      <w:r w:rsidR="00235207" w:rsidRPr="0080490E">
        <w:rPr>
          <w:rFonts w:asciiTheme="minorHAnsi" w:hAnsiTheme="minorHAnsi" w:cstheme="minorHAnsi"/>
          <w:szCs w:val="24"/>
        </w:rPr>
        <w:t>(en adelante</w:t>
      </w:r>
      <w:r w:rsidR="00075FD5" w:rsidRPr="0080490E">
        <w:rPr>
          <w:rFonts w:asciiTheme="minorHAnsi" w:hAnsiTheme="minorHAnsi" w:cstheme="minorHAnsi"/>
          <w:szCs w:val="24"/>
        </w:rPr>
        <w:t>,</w:t>
      </w:r>
      <w:r w:rsidR="00235207" w:rsidRPr="0080490E">
        <w:rPr>
          <w:rFonts w:asciiTheme="minorHAnsi" w:hAnsiTheme="minorHAnsi" w:cstheme="minorHAnsi"/>
          <w:szCs w:val="24"/>
        </w:rPr>
        <w:t xml:space="preserve"> </w:t>
      </w:r>
      <w:proofErr w:type="spellStart"/>
      <w:r w:rsidR="00235207" w:rsidRPr="0080490E">
        <w:rPr>
          <w:rFonts w:asciiTheme="minorHAnsi" w:hAnsiTheme="minorHAnsi" w:cstheme="minorHAnsi"/>
          <w:szCs w:val="24"/>
        </w:rPr>
        <w:t>M</w:t>
      </w:r>
      <w:r w:rsidR="001A0729" w:rsidRPr="0080490E">
        <w:rPr>
          <w:rFonts w:asciiTheme="minorHAnsi" w:hAnsiTheme="minorHAnsi" w:cstheme="minorHAnsi"/>
          <w:szCs w:val="24"/>
        </w:rPr>
        <w:t>i</w:t>
      </w:r>
      <w:r w:rsidR="00235207" w:rsidRPr="0080490E">
        <w:rPr>
          <w:rFonts w:asciiTheme="minorHAnsi" w:hAnsiTheme="minorHAnsi" w:cstheme="minorHAnsi"/>
          <w:szCs w:val="24"/>
        </w:rPr>
        <w:t>FID</w:t>
      </w:r>
      <w:proofErr w:type="spellEnd"/>
      <w:r w:rsidR="00235207" w:rsidRPr="0080490E">
        <w:rPr>
          <w:rFonts w:asciiTheme="minorHAnsi" w:hAnsiTheme="minorHAnsi" w:cstheme="minorHAnsi"/>
          <w:szCs w:val="24"/>
        </w:rPr>
        <w:t xml:space="preserve"> II)</w:t>
      </w:r>
      <w:r w:rsidR="00D11356" w:rsidRPr="0080490E">
        <w:rPr>
          <w:rStyle w:val="Refdenotaalpie"/>
          <w:rFonts w:asciiTheme="minorHAnsi" w:hAnsiTheme="minorHAnsi" w:cstheme="minorHAnsi"/>
          <w:szCs w:val="24"/>
        </w:rPr>
        <w:footnoteReference w:id="15"/>
      </w:r>
      <w:r w:rsidR="00235207" w:rsidRPr="0080490E">
        <w:rPr>
          <w:rFonts w:asciiTheme="minorHAnsi" w:hAnsiTheme="minorHAnsi" w:cstheme="minorHAnsi"/>
          <w:szCs w:val="24"/>
        </w:rPr>
        <w:t xml:space="preserve">. </w:t>
      </w:r>
      <w:r w:rsidR="00812B17" w:rsidRPr="0080490E">
        <w:rPr>
          <w:rFonts w:asciiTheme="minorHAnsi" w:hAnsiTheme="minorHAnsi" w:cstheme="minorHAnsi"/>
          <w:szCs w:val="24"/>
        </w:rPr>
        <w:t xml:space="preserve">Esta normativa regula la prestación de servicios de inversión con el objetivo de fortalecer la protección y transparencia para los inversores, además de imponer </w:t>
      </w:r>
      <w:r w:rsidR="00086C6C" w:rsidRPr="0080490E">
        <w:rPr>
          <w:rFonts w:asciiTheme="minorHAnsi" w:hAnsiTheme="minorHAnsi" w:cstheme="minorHAnsi"/>
          <w:szCs w:val="24"/>
        </w:rPr>
        <w:t xml:space="preserve">ciertas </w:t>
      </w:r>
      <w:r w:rsidR="00812B17" w:rsidRPr="0080490E">
        <w:rPr>
          <w:rFonts w:asciiTheme="minorHAnsi" w:hAnsiTheme="minorHAnsi" w:cstheme="minorHAnsi"/>
          <w:szCs w:val="24"/>
        </w:rPr>
        <w:t xml:space="preserve">normas de conducta a </w:t>
      </w:r>
      <w:r w:rsidR="00086C6C" w:rsidRPr="0080490E">
        <w:rPr>
          <w:rFonts w:asciiTheme="minorHAnsi" w:hAnsiTheme="minorHAnsi" w:cstheme="minorHAnsi"/>
          <w:szCs w:val="24"/>
        </w:rPr>
        <w:t xml:space="preserve">las </w:t>
      </w:r>
      <w:r w:rsidR="00812B17" w:rsidRPr="0080490E">
        <w:rPr>
          <w:rFonts w:asciiTheme="minorHAnsi" w:hAnsiTheme="minorHAnsi" w:cstheme="minorHAnsi"/>
          <w:szCs w:val="24"/>
        </w:rPr>
        <w:t>entidades financieras y empresas de inversión</w:t>
      </w:r>
      <w:r w:rsidR="008F6AA6" w:rsidRPr="0080490E">
        <w:rPr>
          <w:rStyle w:val="Refdenotaalpie"/>
          <w:rFonts w:asciiTheme="minorHAnsi" w:hAnsiTheme="minorHAnsi" w:cstheme="minorHAnsi"/>
          <w:szCs w:val="24"/>
        </w:rPr>
        <w:footnoteReference w:id="16"/>
      </w:r>
      <w:r w:rsidR="008F6AA6" w:rsidRPr="0080490E">
        <w:rPr>
          <w:rFonts w:asciiTheme="minorHAnsi" w:hAnsiTheme="minorHAnsi" w:cstheme="minorHAnsi"/>
          <w:szCs w:val="24"/>
        </w:rPr>
        <w:t>.</w:t>
      </w:r>
    </w:p>
    <w:p w14:paraId="5EF092AE" w14:textId="467A7E13" w:rsidR="00217757" w:rsidRPr="0080490E" w:rsidRDefault="00C572DF"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lang w:val="en-AU"/>
        </w:rPr>
        <w:lastRenderedPageBreak/>
        <w:t>L</w:t>
      </w:r>
      <w:r w:rsidR="00926BB0" w:rsidRPr="0080490E">
        <w:rPr>
          <w:rFonts w:asciiTheme="minorHAnsi" w:hAnsiTheme="minorHAnsi" w:cstheme="minorHAnsi"/>
          <w:szCs w:val="24"/>
          <w:lang w:val="en-AU"/>
        </w:rPr>
        <w:t xml:space="preserve">a </w:t>
      </w:r>
      <w:r w:rsidR="002A798E" w:rsidRPr="0080490E">
        <w:rPr>
          <w:rFonts w:asciiTheme="minorHAnsi" w:hAnsiTheme="minorHAnsi" w:cstheme="minorHAnsi"/>
          <w:i/>
          <w:iCs/>
          <w:szCs w:val="24"/>
          <w:lang w:val="en-AU"/>
        </w:rPr>
        <w:t>European Securities and Markets Authority</w:t>
      </w:r>
      <w:r w:rsidR="00375F28" w:rsidRPr="0080490E">
        <w:rPr>
          <w:rFonts w:asciiTheme="minorHAnsi" w:hAnsiTheme="minorHAnsi" w:cstheme="minorHAnsi"/>
          <w:szCs w:val="24"/>
          <w:lang w:val="en-AU"/>
        </w:rPr>
        <w:t xml:space="preserve"> (</w:t>
      </w:r>
      <w:proofErr w:type="spellStart"/>
      <w:r w:rsidR="00375F28" w:rsidRPr="0080490E">
        <w:rPr>
          <w:rFonts w:asciiTheme="minorHAnsi" w:hAnsiTheme="minorHAnsi" w:cstheme="minorHAnsi"/>
          <w:szCs w:val="24"/>
          <w:lang w:val="en-AU"/>
        </w:rPr>
        <w:t>en</w:t>
      </w:r>
      <w:proofErr w:type="spellEnd"/>
      <w:r w:rsidR="00375F28" w:rsidRPr="0080490E">
        <w:rPr>
          <w:rFonts w:asciiTheme="minorHAnsi" w:hAnsiTheme="minorHAnsi" w:cstheme="minorHAnsi"/>
          <w:szCs w:val="24"/>
          <w:lang w:val="en-AU"/>
        </w:rPr>
        <w:t xml:space="preserve"> </w:t>
      </w:r>
      <w:proofErr w:type="spellStart"/>
      <w:r w:rsidR="00375F28" w:rsidRPr="0080490E">
        <w:rPr>
          <w:rFonts w:asciiTheme="minorHAnsi" w:hAnsiTheme="minorHAnsi" w:cstheme="minorHAnsi"/>
          <w:szCs w:val="24"/>
          <w:lang w:val="en-AU"/>
        </w:rPr>
        <w:t>adelante</w:t>
      </w:r>
      <w:proofErr w:type="spellEnd"/>
      <w:r w:rsidR="00375F28" w:rsidRPr="0080490E">
        <w:rPr>
          <w:rFonts w:asciiTheme="minorHAnsi" w:hAnsiTheme="minorHAnsi" w:cstheme="minorHAnsi"/>
          <w:szCs w:val="24"/>
          <w:lang w:val="en-AU"/>
        </w:rPr>
        <w:t>, ESMA)</w:t>
      </w:r>
      <w:r w:rsidR="002A798E" w:rsidRPr="0080490E">
        <w:rPr>
          <w:rFonts w:asciiTheme="minorHAnsi" w:hAnsiTheme="minorHAnsi" w:cstheme="minorHAnsi"/>
          <w:szCs w:val="24"/>
          <w:lang w:val="en-AU"/>
        </w:rPr>
        <w:t xml:space="preserve"> </w:t>
      </w:r>
      <w:proofErr w:type="spellStart"/>
      <w:r w:rsidR="00926BB0" w:rsidRPr="0080490E">
        <w:rPr>
          <w:rFonts w:asciiTheme="minorHAnsi" w:hAnsiTheme="minorHAnsi" w:cstheme="minorHAnsi"/>
          <w:szCs w:val="24"/>
          <w:lang w:val="en-AU"/>
        </w:rPr>
        <w:t>aprobó</w:t>
      </w:r>
      <w:proofErr w:type="spellEnd"/>
      <w:r w:rsidR="00926BB0" w:rsidRPr="0080490E">
        <w:rPr>
          <w:rFonts w:asciiTheme="minorHAnsi" w:hAnsiTheme="minorHAnsi" w:cstheme="minorHAnsi"/>
          <w:szCs w:val="24"/>
          <w:lang w:val="en-AU"/>
        </w:rPr>
        <w:t xml:space="preserve"> </w:t>
      </w:r>
      <w:proofErr w:type="spellStart"/>
      <w:r w:rsidR="00926BB0" w:rsidRPr="0080490E">
        <w:rPr>
          <w:rFonts w:asciiTheme="minorHAnsi" w:hAnsiTheme="minorHAnsi" w:cstheme="minorHAnsi"/>
          <w:szCs w:val="24"/>
          <w:lang w:val="en-AU"/>
        </w:rPr>
        <w:t>el</w:t>
      </w:r>
      <w:proofErr w:type="spellEnd"/>
      <w:r w:rsidR="00926BB0" w:rsidRPr="0080490E">
        <w:rPr>
          <w:rFonts w:asciiTheme="minorHAnsi" w:hAnsiTheme="minorHAnsi" w:cstheme="minorHAnsi"/>
          <w:szCs w:val="24"/>
          <w:lang w:val="en-AU"/>
        </w:rPr>
        <w:t xml:space="preserve"> 29 de </w:t>
      </w:r>
      <w:proofErr w:type="spellStart"/>
      <w:r w:rsidR="00926BB0" w:rsidRPr="0080490E">
        <w:rPr>
          <w:rFonts w:asciiTheme="minorHAnsi" w:hAnsiTheme="minorHAnsi" w:cstheme="minorHAnsi"/>
          <w:szCs w:val="24"/>
          <w:lang w:val="en-AU"/>
        </w:rPr>
        <w:t>enero</w:t>
      </w:r>
      <w:proofErr w:type="spellEnd"/>
      <w:r w:rsidR="00926BB0" w:rsidRPr="0080490E">
        <w:rPr>
          <w:rFonts w:asciiTheme="minorHAnsi" w:hAnsiTheme="minorHAnsi" w:cstheme="minorHAnsi"/>
          <w:szCs w:val="24"/>
          <w:lang w:val="en-AU"/>
        </w:rPr>
        <w:t xml:space="preserve"> de 2024 </w:t>
      </w:r>
      <w:proofErr w:type="spellStart"/>
      <w:r w:rsidR="00926BB0" w:rsidRPr="0080490E">
        <w:rPr>
          <w:rFonts w:asciiTheme="minorHAnsi" w:hAnsiTheme="minorHAnsi" w:cstheme="minorHAnsi"/>
          <w:szCs w:val="24"/>
          <w:lang w:val="en-AU"/>
        </w:rPr>
        <w:t>el</w:t>
      </w:r>
      <w:proofErr w:type="spellEnd"/>
      <w:r w:rsidR="00926BB0" w:rsidRPr="0080490E">
        <w:rPr>
          <w:rFonts w:asciiTheme="minorHAnsi" w:hAnsiTheme="minorHAnsi" w:cstheme="minorHAnsi"/>
          <w:szCs w:val="24"/>
          <w:lang w:val="en-AU"/>
        </w:rPr>
        <w:t xml:space="preserve"> </w:t>
      </w:r>
      <w:r w:rsidR="00926BB0" w:rsidRPr="0080490E">
        <w:rPr>
          <w:rFonts w:asciiTheme="minorHAnsi" w:hAnsiTheme="minorHAnsi" w:cstheme="minorHAnsi"/>
          <w:i/>
          <w:szCs w:val="24"/>
          <w:lang w:val="en-AU"/>
        </w:rPr>
        <w:t>Consultation paper on the draft Guidelines on the conditions and criteria for the qualification of crypto-assets as financial instruments</w:t>
      </w:r>
      <w:r w:rsidR="00926BB0" w:rsidRPr="0080490E">
        <w:rPr>
          <w:rFonts w:asciiTheme="minorHAnsi" w:hAnsiTheme="minorHAnsi" w:cstheme="minorHAnsi"/>
          <w:szCs w:val="24"/>
          <w:lang w:val="en-AU"/>
        </w:rPr>
        <w:t>.</w:t>
      </w:r>
      <w:r w:rsidRPr="0080490E">
        <w:rPr>
          <w:rFonts w:asciiTheme="minorHAnsi" w:hAnsiTheme="minorHAnsi" w:cstheme="minorHAnsi"/>
          <w:szCs w:val="24"/>
          <w:lang w:val="en-AU"/>
        </w:rPr>
        <w:t xml:space="preserve"> </w:t>
      </w:r>
      <w:r w:rsidRPr="0080490E">
        <w:rPr>
          <w:rFonts w:asciiTheme="minorHAnsi" w:hAnsiTheme="minorHAnsi" w:cstheme="minorHAnsi"/>
          <w:szCs w:val="24"/>
        </w:rPr>
        <w:t xml:space="preserve">Este documento </w:t>
      </w:r>
      <w:r w:rsidR="009D06E0" w:rsidRPr="0080490E">
        <w:rPr>
          <w:rFonts w:asciiTheme="minorHAnsi" w:hAnsiTheme="minorHAnsi" w:cstheme="minorHAnsi"/>
          <w:szCs w:val="24"/>
        </w:rPr>
        <w:t>sirve</w:t>
      </w:r>
      <w:r w:rsidRPr="0080490E">
        <w:rPr>
          <w:rFonts w:asciiTheme="minorHAnsi" w:hAnsiTheme="minorHAnsi" w:cstheme="minorHAnsi"/>
          <w:szCs w:val="24"/>
        </w:rPr>
        <w:t xml:space="preserve"> como punto de partida para determinar qué criptoactivos están regulados </w:t>
      </w:r>
      <w:r w:rsidR="003B213E" w:rsidRPr="0080490E">
        <w:rPr>
          <w:rFonts w:asciiTheme="minorHAnsi" w:hAnsiTheme="minorHAnsi" w:cstheme="minorHAnsi"/>
          <w:szCs w:val="24"/>
        </w:rPr>
        <w:t>por</w:t>
      </w:r>
      <w:r w:rsidRPr="0080490E">
        <w:rPr>
          <w:rFonts w:asciiTheme="minorHAnsi" w:hAnsiTheme="minorHAnsi" w:cstheme="minorHAnsi"/>
          <w:szCs w:val="24"/>
        </w:rPr>
        <w:t xml:space="preserve"> MiCA, cuáles están vinculados a la Directiva </w:t>
      </w:r>
      <w:proofErr w:type="spellStart"/>
      <w:r w:rsidRPr="0080490E">
        <w:rPr>
          <w:rFonts w:asciiTheme="minorHAnsi" w:hAnsiTheme="minorHAnsi" w:cstheme="minorHAnsi"/>
          <w:szCs w:val="24"/>
        </w:rPr>
        <w:t>MiFID</w:t>
      </w:r>
      <w:proofErr w:type="spellEnd"/>
      <w:r w:rsidRPr="0080490E">
        <w:rPr>
          <w:rFonts w:asciiTheme="minorHAnsi" w:hAnsiTheme="minorHAnsi" w:cstheme="minorHAnsi"/>
          <w:szCs w:val="24"/>
        </w:rPr>
        <w:t xml:space="preserve"> II y cuáles podrían quedar excluidos de ambas regulaciones</w:t>
      </w:r>
      <w:r w:rsidR="008C3D68" w:rsidRPr="0080490E">
        <w:rPr>
          <w:rStyle w:val="Refdenotaalpie"/>
          <w:rFonts w:asciiTheme="minorHAnsi" w:hAnsiTheme="minorHAnsi" w:cstheme="minorHAnsi"/>
          <w:szCs w:val="24"/>
        </w:rPr>
        <w:footnoteReference w:id="17"/>
      </w:r>
      <w:r w:rsidR="00926BB0" w:rsidRPr="0080490E">
        <w:rPr>
          <w:rFonts w:asciiTheme="minorHAnsi" w:hAnsiTheme="minorHAnsi" w:cstheme="minorHAnsi"/>
          <w:szCs w:val="24"/>
        </w:rPr>
        <w:t>.</w:t>
      </w:r>
      <w:r w:rsidR="00FD075E" w:rsidRPr="0080490E">
        <w:rPr>
          <w:rFonts w:asciiTheme="minorHAnsi" w:hAnsiTheme="minorHAnsi" w:cstheme="minorHAnsi"/>
          <w:szCs w:val="24"/>
        </w:rPr>
        <w:t xml:space="preserve"> </w:t>
      </w:r>
      <w:r w:rsidRPr="0080490E">
        <w:rPr>
          <w:rFonts w:asciiTheme="minorHAnsi" w:hAnsiTheme="minorHAnsi" w:cstheme="minorHAnsi"/>
          <w:szCs w:val="24"/>
        </w:rPr>
        <w:t xml:space="preserve">Al clasificar la naturaleza de los criptoactivos, la ESMA </w:t>
      </w:r>
      <w:r w:rsidR="00C67425" w:rsidRPr="0080490E">
        <w:rPr>
          <w:rFonts w:asciiTheme="minorHAnsi" w:hAnsiTheme="minorHAnsi" w:cstheme="minorHAnsi"/>
          <w:szCs w:val="24"/>
        </w:rPr>
        <w:t>subraya</w:t>
      </w:r>
      <w:r w:rsidRPr="0080490E">
        <w:rPr>
          <w:rFonts w:asciiTheme="minorHAnsi" w:hAnsiTheme="minorHAnsi" w:cstheme="minorHAnsi"/>
          <w:szCs w:val="24"/>
        </w:rPr>
        <w:t xml:space="preserve"> el principio de neutralidad tecnológica para asegurar que activos de naturaleza equivalente estén sujetos a las mismas normas, independientemente de su forma tecnológica</w:t>
      </w:r>
      <w:r w:rsidR="00903B1A" w:rsidRPr="0080490E">
        <w:rPr>
          <w:rStyle w:val="Refdenotaalpie"/>
          <w:rFonts w:asciiTheme="minorHAnsi" w:hAnsiTheme="minorHAnsi" w:cstheme="minorHAnsi"/>
          <w:szCs w:val="24"/>
        </w:rPr>
        <w:footnoteReference w:id="18"/>
      </w:r>
      <w:r w:rsidR="00FD075E" w:rsidRPr="0080490E">
        <w:rPr>
          <w:rFonts w:asciiTheme="minorHAnsi" w:hAnsiTheme="minorHAnsi" w:cstheme="minorHAnsi"/>
          <w:szCs w:val="24"/>
        </w:rPr>
        <w:t>. Esto implica, por tanto, que el empleo de tokens no determina la necesaria aplicación de un conjunto normativo específico</w:t>
      </w:r>
      <w:r w:rsidRPr="0080490E">
        <w:rPr>
          <w:rFonts w:asciiTheme="minorHAnsi" w:hAnsiTheme="minorHAnsi" w:cstheme="minorHAnsi"/>
          <w:szCs w:val="24"/>
        </w:rPr>
        <w:t xml:space="preserve">, ya </w:t>
      </w:r>
      <w:r w:rsidR="00FD075E" w:rsidRPr="0080490E">
        <w:rPr>
          <w:rFonts w:asciiTheme="minorHAnsi" w:hAnsiTheme="minorHAnsi" w:cstheme="minorHAnsi"/>
          <w:szCs w:val="24"/>
        </w:rPr>
        <w:t xml:space="preserve">que </w:t>
      </w:r>
      <w:r w:rsidR="000E5CEF" w:rsidRPr="0080490E">
        <w:rPr>
          <w:rFonts w:asciiTheme="minorHAnsi" w:hAnsiTheme="minorHAnsi" w:cstheme="minorHAnsi"/>
          <w:szCs w:val="24"/>
        </w:rPr>
        <w:t>el criterio</w:t>
      </w:r>
      <w:r w:rsidR="00FD075E" w:rsidRPr="0080490E">
        <w:rPr>
          <w:rFonts w:asciiTheme="minorHAnsi" w:hAnsiTheme="minorHAnsi" w:cstheme="minorHAnsi"/>
          <w:szCs w:val="24"/>
        </w:rPr>
        <w:t xml:space="preserve"> para determina</w:t>
      </w:r>
      <w:r w:rsidR="002A798E" w:rsidRPr="0080490E">
        <w:rPr>
          <w:rFonts w:asciiTheme="minorHAnsi" w:hAnsiTheme="minorHAnsi" w:cstheme="minorHAnsi"/>
          <w:szCs w:val="24"/>
        </w:rPr>
        <w:t>r</w:t>
      </w:r>
      <w:r w:rsidR="00FD075E" w:rsidRPr="0080490E">
        <w:rPr>
          <w:rFonts w:asciiTheme="minorHAnsi" w:hAnsiTheme="minorHAnsi" w:cstheme="minorHAnsi"/>
          <w:szCs w:val="24"/>
        </w:rPr>
        <w:t xml:space="preserve"> la legislación aplicable </w:t>
      </w:r>
      <w:r w:rsidRPr="0080490E">
        <w:rPr>
          <w:rFonts w:asciiTheme="minorHAnsi" w:hAnsiTheme="minorHAnsi" w:cstheme="minorHAnsi"/>
          <w:szCs w:val="24"/>
        </w:rPr>
        <w:t>no es la tecnología empleada, sino la realidad subyacente que el token representa</w:t>
      </w:r>
      <w:r w:rsidR="00FD075E" w:rsidRPr="0080490E">
        <w:rPr>
          <w:rFonts w:asciiTheme="minorHAnsi" w:hAnsiTheme="minorHAnsi" w:cstheme="minorHAnsi"/>
          <w:szCs w:val="24"/>
        </w:rPr>
        <w:t>.</w:t>
      </w:r>
    </w:p>
    <w:p w14:paraId="049CD371" w14:textId="77777777" w:rsidR="00432D99" w:rsidRPr="0080490E" w:rsidRDefault="00432D99" w:rsidP="0080490E">
      <w:pPr>
        <w:spacing w:after="0" w:line="276" w:lineRule="auto"/>
        <w:ind w:firstLine="0"/>
        <w:rPr>
          <w:rFonts w:asciiTheme="minorHAnsi" w:hAnsiTheme="minorHAnsi" w:cstheme="minorHAnsi"/>
          <w:szCs w:val="24"/>
          <w:lang w:eastAsia="es-ES_tradnl"/>
        </w:rPr>
      </w:pPr>
    </w:p>
    <w:p w14:paraId="5D5FAE29" w14:textId="56B1E402" w:rsidR="00990C52" w:rsidRPr="0080490E" w:rsidRDefault="00973753" w:rsidP="0080490E">
      <w:pPr>
        <w:pStyle w:val="Ttulo1"/>
        <w:spacing w:after="0" w:line="276" w:lineRule="auto"/>
        <w:ind w:firstLine="0"/>
        <w:rPr>
          <w:rFonts w:asciiTheme="minorHAnsi" w:hAnsiTheme="minorHAnsi" w:cstheme="minorHAnsi"/>
        </w:rPr>
      </w:pPr>
      <w:r w:rsidRPr="0080490E">
        <w:rPr>
          <w:rFonts w:asciiTheme="minorHAnsi" w:hAnsiTheme="minorHAnsi" w:cstheme="minorHAnsi"/>
        </w:rPr>
        <w:t>3</w:t>
      </w:r>
      <w:r w:rsidR="00F72695" w:rsidRPr="0080490E">
        <w:rPr>
          <w:rFonts w:asciiTheme="minorHAnsi" w:hAnsiTheme="minorHAnsi" w:cstheme="minorHAnsi"/>
        </w:rPr>
        <w:t xml:space="preserve">. </w:t>
      </w:r>
      <w:r w:rsidR="00990C52" w:rsidRPr="0080490E">
        <w:rPr>
          <w:rFonts w:asciiTheme="minorHAnsi" w:hAnsiTheme="minorHAnsi" w:cstheme="minorHAnsi"/>
        </w:rPr>
        <w:t>Exposición de un modelo de negocio</w:t>
      </w:r>
    </w:p>
    <w:p w14:paraId="72938CB5" w14:textId="5DEE1CBC" w:rsidR="00990C52" w:rsidRPr="0080490E" w:rsidRDefault="00C572DF"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Para</w:t>
      </w:r>
      <w:r w:rsidR="00990C52" w:rsidRPr="0080490E">
        <w:rPr>
          <w:rFonts w:asciiTheme="minorHAnsi" w:hAnsiTheme="minorHAnsi" w:cstheme="minorHAnsi"/>
          <w:szCs w:val="24"/>
        </w:rPr>
        <w:t xml:space="preserve"> facilitar la comprensión de los conceptos jurídicos implicados en la inversión inmobiliaria </w:t>
      </w:r>
      <w:r w:rsidR="00555406" w:rsidRPr="0080490E">
        <w:rPr>
          <w:rFonts w:asciiTheme="minorHAnsi" w:hAnsiTheme="minorHAnsi" w:cstheme="minorHAnsi"/>
          <w:szCs w:val="24"/>
        </w:rPr>
        <w:t xml:space="preserve">directa </w:t>
      </w:r>
      <w:r w:rsidR="00990C52" w:rsidRPr="0080490E">
        <w:rPr>
          <w:rFonts w:asciiTheme="minorHAnsi" w:hAnsiTheme="minorHAnsi" w:cstheme="minorHAnsi"/>
          <w:szCs w:val="24"/>
        </w:rPr>
        <w:t xml:space="preserve">tokenizada, resulta conveniente llevar a cabo una </w:t>
      </w:r>
      <w:r w:rsidR="004035BC" w:rsidRPr="0080490E">
        <w:rPr>
          <w:rFonts w:asciiTheme="minorHAnsi" w:hAnsiTheme="minorHAnsi" w:cstheme="minorHAnsi"/>
          <w:szCs w:val="24"/>
        </w:rPr>
        <w:t>exposición</w:t>
      </w:r>
      <w:r w:rsidR="00990C52" w:rsidRPr="0080490E">
        <w:rPr>
          <w:rFonts w:asciiTheme="minorHAnsi" w:hAnsiTheme="minorHAnsi" w:cstheme="minorHAnsi"/>
          <w:szCs w:val="24"/>
        </w:rPr>
        <w:t xml:space="preserve"> de un modelo de negocio</w:t>
      </w:r>
      <w:r w:rsidR="008C629D" w:rsidRPr="0080490E">
        <w:rPr>
          <w:rStyle w:val="Refdenotaalpie"/>
          <w:rFonts w:asciiTheme="minorHAnsi" w:hAnsiTheme="minorHAnsi" w:cstheme="minorHAnsi"/>
          <w:szCs w:val="24"/>
        </w:rPr>
        <w:footnoteReference w:id="19"/>
      </w:r>
      <w:r w:rsidR="00990C52" w:rsidRPr="0080490E">
        <w:rPr>
          <w:rFonts w:asciiTheme="minorHAnsi" w:hAnsiTheme="minorHAnsi" w:cstheme="minorHAnsi"/>
          <w:szCs w:val="24"/>
        </w:rPr>
        <w:t>.</w:t>
      </w:r>
    </w:p>
    <w:p w14:paraId="4D4E926C" w14:textId="64438A0C" w:rsidR="005050FA" w:rsidRPr="0080490E" w:rsidRDefault="00171B93"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El primer paso es </w:t>
      </w:r>
      <w:r w:rsidR="005050FA" w:rsidRPr="0080490E">
        <w:rPr>
          <w:rFonts w:asciiTheme="minorHAnsi" w:hAnsiTheme="minorHAnsi" w:cstheme="minorHAnsi"/>
          <w:szCs w:val="24"/>
        </w:rPr>
        <w:t xml:space="preserve">la </w:t>
      </w:r>
      <w:r w:rsidR="007F5EEE" w:rsidRPr="0080490E">
        <w:rPr>
          <w:rFonts w:asciiTheme="minorHAnsi" w:hAnsiTheme="minorHAnsi" w:cstheme="minorHAnsi"/>
          <w:szCs w:val="24"/>
        </w:rPr>
        <w:t>selección</w:t>
      </w:r>
      <w:r w:rsidR="005050FA" w:rsidRPr="0080490E">
        <w:rPr>
          <w:rFonts w:asciiTheme="minorHAnsi" w:hAnsiTheme="minorHAnsi" w:cstheme="minorHAnsi"/>
          <w:szCs w:val="24"/>
        </w:rPr>
        <w:t xml:space="preserve"> del inmueble</w:t>
      </w:r>
      <w:r w:rsidR="00990C52" w:rsidRPr="0080490E">
        <w:rPr>
          <w:rFonts w:asciiTheme="minorHAnsi" w:hAnsiTheme="minorHAnsi" w:cstheme="minorHAnsi"/>
          <w:szCs w:val="24"/>
        </w:rPr>
        <w:t xml:space="preserve">. </w:t>
      </w:r>
      <w:r w:rsidR="005050FA" w:rsidRPr="0080490E">
        <w:rPr>
          <w:rFonts w:asciiTheme="minorHAnsi" w:hAnsiTheme="minorHAnsi" w:cstheme="minorHAnsi"/>
          <w:szCs w:val="24"/>
        </w:rPr>
        <w:t>Al tratarse de un negocio inmobiliari</w:t>
      </w:r>
      <w:r w:rsidR="000C5C67" w:rsidRPr="0080490E">
        <w:rPr>
          <w:rFonts w:asciiTheme="minorHAnsi" w:hAnsiTheme="minorHAnsi" w:cstheme="minorHAnsi"/>
          <w:szCs w:val="24"/>
        </w:rPr>
        <w:t>o</w:t>
      </w:r>
      <w:r w:rsidR="005050FA" w:rsidRPr="0080490E">
        <w:rPr>
          <w:rFonts w:asciiTheme="minorHAnsi" w:hAnsiTheme="minorHAnsi" w:cstheme="minorHAnsi"/>
          <w:szCs w:val="24"/>
        </w:rPr>
        <w:t xml:space="preserve"> es preciso que el promotor </w:t>
      </w:r>
      <w:r w:rsidR="002A798E" w:rsidRPr="0080490E">
        <w:rPr>
          <w:rFonts w:asciiTheme="minorHAnsi" w:hAnsiTheme="minorHAnsi" w:cstheme="minorHAnsi"/>
          <w:szCs w:val="24"/>
        </w:rPr>
        <w:t xml:space="preserve">o emisor de los tokens </w:t>
      </w:r>
      <w:r w:rsidR="005050FA" w:rsidRPr="0080490E">
        <w:rPr>
          <w:rFonts w:asciiTheme="minorHAnsi" w:hAnsiTheme="minorHAnsi" w:cstheme="minorHAnsi"/>
          <w:szCs w:val="24"/>
        </w:rPr>
        <w:t>adquiera</w:t>
      </w:r>
      <w:r w:rsidRPr="0080490E">
        <w:rPr>
          <w:rFonts w:asciiTheme="minorHAnsi" w:hAnsiTheme="minorHAnsi" w:cstheme="minorHAnsi"/>
          <w:szCs w:val="24"/>
        </w:rPr>
        <w:t xml:space="preserve">, de manera previa o posterior a la tokenización, </w:t>
      </w:r>
      <w:r w:rsidR="005050FA" w:rsidRPr="0080490E">
        <w:rPr>
          <w:rFonts w:asciiTheme="minorHAnsi" w:hAnsiTheme="minorHAnsi" w:cstheme="minorHAnsi"/>
          <w:szCs w:val="24"/>
        </w:rPr>
        <w:t xml:space="preserve">la propiedad del </w:t>
      </w:r>
      <w:r w:rsidR="00990C52" w:rsidRPr="0080490E">
        <w:rPr>
          <w:rFonts w:asciiTheme="minorHAnsi" w:hAnsiTheme="minorHAnsi" w:cstheme="minorHAnsi"/>
          <w:szCs w:val="24"/>
        </w:rPr>
        <w:t xml:space="preserve">inmueble </w:t>
      </w:r>
      <w:r w:rsidR="005050FA" w:rsidRPr="0080490E">
        <w:rPr>
          <w:rFonts w:asciiTheme="minorHAnsi" w:hAnsiTheme="minorHAnsi" w:cstheme="minorHAnsi"/>
          <w:szCs w:val="24"/>
        </w:rPr>
        <w:t>destinado a la inversión</w:t>
      </w:r>
      <w:r w:rsidR="00990C52" w:rsidRPr="0080490E">
        <w:rPr>
          <w:rFonts w:asciiTheme="minorHAnsi" w:hAnsiTheme="minorHAnsi" w:cstheme="minorHAnsi"/>
          <w:szCs w:val="24"/>
        </w:rPr>
        <w:t xml:space="preserve">. </w:t>
      </w:r>
      <w:r w:rsidR="005050FA" w:rsidRPr="0080490E">
        <w:rPr>
          <w:rFonts w:asciiTheme="minorHAnsi" w:hAnsiTheme="minorHAnsi" w:cstheme="minorHAnsi"/>
          <w:szCs w:val="24"/>
        </w:rPr>
        <w:t xml:space="preserve">Como plantea </w:t>
      </w:r>
      <w:r w:rsidR="005050FA" w:rsidRPr="0080490E">
        <w:rPr>
          <w:rFonts w:asciiTheme="minorHAnsi" w:hAnsiTheme="minorHAnsi" w:cstheme="minorHAnsi"/>
          <w:smallCaps/>
          <w:szCs w:val="24"/>
        </w:rPr>
        <w:t>Jiménez París</w:t>
      </w:r>
      <w:r w:rsidR="005050FA" w:rsidRPr="0080490E">
        <w:rPr>
          <w:rFonts w:asciiTheme="minorHAnsi" w:hAnsiTheme="minorHAnsi" w:cstheme="minorHAnsi"/>
          <w:szCs w:val="24"/>
        </w:rPr>
        <w:t xml:space="preserve"> </w:t>
      </w:r>
      <w:r w:rsidR="00602E21" w:rsidRPr="0080490E">
        <w:rPr>
          <w:rFonts w:asciiTheme="minorHAnsi" w:hAnsiTheme="minorHAnsi" w:cstheme="minorHAnsi"/>
          <w:szCs w:val="24"/>
        </w:rPr>
        <w:t xml:space="preserve">el aseguramiento de la adquisición </w:t>
      </w:r>
      <w:r w:rsidR="005050FA" w:rsidRPr="0080490E">
        <w:rPr>
          <w:rFonts w:asciiTheme="minorHAnsi" w:hAnsiTheme="minorHAnsi" w:cstheme="minorHAnsi"/>
          <w:szCs w:val="24"/>
        </w:rPr>
        <w:t>«podría verificarse mediante un contrato de arras, un precontrato de compraventa de inmueble celebrado entre el promotor y el propietario del inmueble, o bien mediante un contrato de opción de compra»</w:t>
      </w:r>
      <w:r w:rsidR="005050FA" w:rsidRPr="0080490E">
        <w:rPr>
          <w:rStyle w:val="Refdenotaalpie"/>
          <w:rFonts w:asciiTheme="minorHAnsi" w:hAnsiTheme="minorHAnsi" w:cstheme="minorHAnsi"/>
          <w:szCs w:val="24"/>
        </w:rPr>
        <w:footnoteReference w:id="20"/>
      </w:r>
      <w:r w:rsidR="005050FA" w:rsidRPr="0080490E">
        <w:rPr>
          <w:rFonts w:asciiTheme="minorHAnsi" w:hAnsiTheme="minorHAnsi" w:cstheme="minorHAnsi"/>
          <w:szCs w:val="24"/>
        </w:rPr>
        <w:t>.</w:t>
      </w:r>
    </w:p>
    <w:p w14:paraId="55D70BF6" w14:textId="381C1510" w:rsidR="007E574B" w:rsidRPr="0080490E" w:rsidRDefault="008129CA"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En la segunda fase, una </w:t>
      </w:r>
      <w:r w:rsidR="00602E21" w:rsidRPr="0080490E">
        <w:rPr>
          <w:rFonts w:asciiTheme="minorHAnsi" w:hAnsiTheme="minorHAnsi" w:cstheme="minorHAnsi"/>
          <w:szCs w:val="24"/>
        </w:rPr>
        <w:t xml:space="preserve">vez adquirida la propiedad o identificado el inmueble, el promotor </w:t>
      </w:r>
      <w:r w:rsidR="00AF21BE" w:rsidRPr="0080490E">
        <w:rPr>
          <w:rFonts w:asciiTheme="minorHAnsi" w:hAnsiTheme="minorHAnsi" w:cstheme="minorHAnsi"/>
          <w:szCs w:val="24"/>
        </w:rPr>
        <w:t>debe iniciar</w:t>
      </w:r>
      <w:r w:rsidR="00602E21" w:rsidRPr="0080490E">
        <w:rPr>
          <w:rFonts w:asciiTheme="minorHAnsi" w:hAnsiTheme="minorHAnsi" w:cstheme="minorHAnsi"/>
          <w:szCs w:val="24"/>
        </w:rPr>
        <w:t xml:space="preserve"> el proceso de tokenización. </w:t>
      </w:r>
      <w:r w:rsidR="007E574B" w:rsidRPr="0080490E">
        <w:rPr>
          <w:rFonts w:asciiTheme="minorHAnsi" w:hAnsiTheme="minorHAnsi" w:cstheme="minorHAnsi"/>
          <w:szCs w:val="24"/>
        </w:rPr>
        <w:t xml:space="preserve">La tokenización implica que el promotor digitaliza el coste total del proyecto en una serie limitada de tokens que se distribuirán entre los inversores. Es importante destacar que esta tokenización no representa participaciones en la propiedad. Por lo tanto, los inversores no adquieren ningún derecho </w:t>
      </w:r>
      <w:r w:rsidR="004131CF" w:rsidRPr="0080490E">
        <w:rPr>
          <w:rFonts w:asciiTheme="minorHAnsi" w:hAnsiTheme="minorHAnsi" w:cstheme="minorHAnsi"/>
          <w:szCs w:val="24"/>
        </w:rPr>
        <w:t>real</w:t>
      </w:r>
      <w:r w:rsidR="007E574B" w:rsidRPr="0080490E">
        <w:rPr>
          <w:rFonts w:asciiTheme="minorHAnsi" w:hAnsiTheme="minorHAnsi" w:cstheme="minorHAnsi"/>
          <w:szCs w:val="24"/>
        </w:rPr>
        <w:t xml:space="preserve"> sobre el inmueble</w:t>
      </w:r>
      <w:r w:rsidR="00524923" w:rsidRPr="0080490E">
        <w:rPr>
          <w:rFonts w:asciiTheme="minorHAnsi" w:hAnsiTheme="minorHAnsi" w:cstheme="minorHAnsi"/>
          <w:szCs w:val="24"/>
        </w:rPr>
        <w:t xml:space="preserve"> que</w:t>
      </w:r>
      <w:r w:rsidR="007E574B" w:rsidRPr="0080490E">
        <w:rPr>
          <w:rFonts w:asciiTheme="minorHAnsi" w:hAnsiTheme="minorHAnsi" w:cstheme="minorHAnsi"/>
          <w:szCs w:val="24"/>
        </w:rPr>
        <w:t xml:space="preserve"> permanece en el patrimonio de la entidad financiada.</w:t>
      </w:r>
    </w:p>
    <w:p w14:paraId="62D74A24" w14:textId="5AC8CBB0" w:rsidR="00217BB9" w:rsidRPr="0080490E" w:rsidRDefault="00217BB9"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La neutralidad tecnológica y la autonomía de la voluntad en la configuración interna del token permiten </w:t>
      </w:r>
      <w:r w:rsidR="00A21750" w:rsidRPr="0080490E">
        <w:rPr>
          <w:rFonts w:asciiTheme="minorHAnsi" w:hAnsiTheme="minorHAnsi" w:cstheme="minorHAnsi"/>
          <w:szCs w:val="24"/>
        </w:rPr>
        <w:t xml:space="preserve">al emisor decidir </w:t>
      </w:r>
      <w:r w:rsidRPr="0080490E">
        <w:rPr>
          <w:rFonts w:asciiTheme="minorHAnsi" w:hAnsiTheme="minorHAnsi" w:cstheme="minorHAnsi"/>
          <w:szCs w:val="24"/>
        </w:rPr>
        <w:t>qu</w:t>
      </w:r>
      <w:r w:rsidR="00A21750" w:rsidRPr="0080490E">
        <w:rPr>
          <w:rFonts w:asciiTheme="minorHAnsi" w:hAnsiTheme="minorHAnsi" w:cstheme="minorHAnsi"/>
          <w:szCs w:val="24"/>
        </w:rPr>
        <w:t>é representa</w:t>
      </w:r>
      <w:r w:rsidRPr="0080490E">
        <w:rPr>
          <w:rFonts w:asciiTheme="minorHAnsi" w:hAnsiTheme="minorHAnsi" w:cstheme="minorHAnsi"/>
          <w:szCs w:val="24"/>
        </w:rPr>
        <w:t xml:space="preserve"> el criptoactivo</w:t>
      </w:r>
      <w:r w:rsidR="00A21750" w:rsidRPr="0080490E">
        <w:rPr>
          <w:rFonts w:asciiTheme="minorHAnsi" w:hAnsiTheme="minorHAnsi" w:cstheme="minorHAnsi"/>
          <w:szCs w:val="24"/>
        </w:rPr>
        <w:t>. Así, el token puede representar la</w:t>
      </w:r>
      <w:r w:rsidRPr="0080490E">
        <w:rPr>
          <w:rFonts w:asciiTheme="minorHAnsi" w:hAnsiTheme="minorHAnsi" w:cstheme="minorHAnsi"/>
          <w:szCs w:val="24"/>
        </w:rPr>
        <w:t xml:space="preserve"> condición de </w:t>
      </w:r>
      <w:r w:rsidR="000A2FE0" w:rsidRPr="0080490E">
        <w:rPr>
          <w:rFonts w:asciiTheme="minorHAnsi" w:hAnsiTheme="minorHAnsi" w:cstheme="minorHAnsi"/>
          <w:szCs w:val="24"/>
        </w:rPr>
        <w:t xml:space="preserve">un sujeto como </w:t>
      </w:r>
      <w:r w:rsidR="00A21750" w:rsidRPr="0080490E">
        <w:rPr>
          <w:rFonts w:asciiTheme="minorHAnsi" w:hAnsiTheme="minorHAnsi" w:cstheme="minorHAnsi"/>
          <w:szCs w:val="24"/>
        </w:rPr>
        <w:t xml:space="preserve">parte en un contrato y como </w:t>
      </w:r>
      <w:r w:rsidRPr="0080490E">
        <w:rPr>
          <w:rFonts w:asciiTheme="minorHAnsi" w:hAnsiTheme="minorHAnsi" w:cstheme="minorHAnsi"/>
          <w:szCs w:val="24"/>
        </w:rPr>
        <w:t xml:space="preserve">inversor </w:t>
      </w:r>
      <w:r w:rsidR="003B213E" w:rsidRPr="0080490E">
        <w:rPr>
          <w:rFonts w:asciiTheme="minorHAnsi" w:hAnsiTheme="minorHAnsi" w:cstheme="minorHAnsi"/>
          <w:szCs w:val="24"/>
        </w:rPr>
        <w:t>o</w:t>
      </w:r>
      <w:r w:rsidRPr="0080490E">
        <w:rPr>
          <w:rFonts w:asciiTheme="minorHAnsi" w:hAnsiTheme="minorHAnsi" w:cstheme="minorHAnsi"/>
          <w:szCs w:val="24"/>
        </w:rPr>
        <w:t xml:space="preserve"> </w:t>
      </w:r>
      <w:r w:rsidR="005772F0" w:rsidRPr="0080490E">
        <w:rPr>
          <w:rFonts w:asciiTheme="minorHAnsi" w:hAnsiTheme="minorHAnsi" w:cstheme="minorHAnsi"/>
          <w:szCs w:val="24"/>
        </w:rPr>
        <w:t>un derecho a</w:t>
      </w:r>
      <w:r w:rsidRPr="0080490E">
        <w:rPr>
          <w:rFonts w:asciiTheme="minorHAnsi" w:hAnsiTheme="minorHAnsi" w:cstheme="minorHAnsi"/>
          <w:szCs w:val="24"/>
        </w:rPr>
        <w:t xml:space="preserve"> participa</w:t>
      </w:r>
      <w:r w:rsidR="005772F0" w:rsidRPr="0080490E">
        <w:rPr>
          <w:rFonts w:asciiTheme="minorHAnsi" w:hAnsiTheme="minorHAnsi" w:cstheme="minorHAnsi"/>
          <w:szCs w:val="24"/>
        </w:rPr>
        <w:t>r</w:t>
      </w:r>
      <w:r w:rsidRPr="0080490E">
        <w:rPr>
          <w:rFonts w:asciiTheme="minorHAnsi" w:hAnsiTheme="minorHAnsi" w:cstheme="minorHAnsi"/>
          <w:szCs w:val="24"/>
        </w:rPr>
        <w:t xml:space="preserve"> </w:t>
      </w:r>
      <w:r w:rsidR="005772F0" w:rsidRPr="0080490E">
        <w:rPr>
          <w:rFonts w:asciiTheme="minorHAnsi" w:hAnsiTheme="minorHAnsi" w:cstheme="minorHAnsi"/>
          <w:szCs w:val="24"/>
        </w:rPr>
        <w:t xml:space="preserve">en </w:t>
      </w:r>
      <w:r w:rsidRPr="0080490E">
        <w:rPr>
          <w:rFonts w:asciiTheme="minorHAnsi" w:hAnsiTheme="minorHAnsi" w:cstheme="minorHAnsi"/>
          <w:szCs w:val="24"/>
        </w:rPr>
        <w:t>los beneficios derivados de la explotación de</w:t>
      </w:r>
      <w:r w:rsidR="003B213E" w:rsidRPr="0080490E">
        <w:rPr>
          <w:rFonts w:asciiTheme="minorHAnsi" w:hAnsiTheme="minorHAnsi" w:cstheme="minorHAnsi"/>
          <w:szCs w:val="24"/>
        </w:rPr>
        <w:t>l</w:t>
      </w:r>
      <w:r w:rsidRPr="0080490E">
        <w:rPr>
          <w:rFonts w:asciiTheme="minorHAnsi" w:hAnsiTheme="minorHAnsi" w:cstheme="minorHAnsi"/>
          <w:szCs w:val="24"/>
        </w:rPr>
        <w:t xml:space="preserve"> inmueble. Es decir, </w:t>
      </w:r>
      <w:r w:rsidRPr="0080490E">
        <w:rPr>
          <w:rFonts w:asciiTheme="minorHAnsi" w:hAnsiTheme="minorHAnsi" w:cstheme="minorHAnsi"/>
          <w:szCs w:val="24"/>
        </w:rPr>
        <w:lastRenderedPageBreak/>
        <w:t>la tokenización puede referirse tanto a la categoría de inversor y su porcentaje de participación en el proyecto financiado, como a</w:t>
      </w:r>
      <w:r w:rsidR="00B8356C" w:rsidRPr="0080490E">
        <w:rPr>
          <w:rFonts w:asciiTheme="minorHAnsi" w:hAnsiTheme="minorHAnsi" w:cstheme="minorHAnsi"/>
          <w:szCs w:val="24"/>
        </w:rPr>
        <w:t>l</w:t>
      </w:r>
      <w:r w:rsidRPr="0080490E">
        <w:rPr>
          <w:rFonts w:asciiTheme="minorHAnsi" w:hAnsiTheme="minorHAnsi" w:cstheme="minorHAnsi"/>
          <w:szCs w:val="24"/>
        </w:rPr>
        <w:t xml:space="preserve"> derecho de crédito vinculado al rendimiento económico del inmueble. Esta cuestión resul</w:t>
      </w:r>
      <w:r w:rsidR="00AF21BE" w:rsidRPr="0080490E">
        <w:rPr>
          <w:rFonts w:asciiTheme="minorHAnsi" w:hAnsiTheme="minorHAnsi" w:cstheme="minorHAnsi"/>
          <w:szCs w:val="24"/>
        </w:rPr>
        <w:t>t</w:t>
      </w:r>
      <w:r w:rsidRPr="0080490E">
        <w:rPr>
          <w:rFonts w:asciiTheme="minorHAnsi" w:hAnsiTheme="minorHAnsi" w:cstheme="minorHAnsi"/>
          <w:szCs w:val="24"/>
        </w:rPr>
        <w:t>a decisiva porque dependiendo de lo que el token represente, se aplicará o no la normativa de los instrumentos financieros.</w:t>
      </w:r>
    </w:p>
    <w:p w14:paraId="7C648FC1" w14:textId="04D7AE8F" w:rsidR="00610DD3" w:rsidRPr="0080490E" w:rsidRDefault="00171B93"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Una vez completad</w:t>
      </w:r>
      <w:r w:rsidR="00AF21BE" w:rsidRPr="0080490E">
        <w:rPr>
          <w:rFonts w:asciiTheme="minorHAnsi" w:hAnsiTheme="minorHAnsi" w:cstheme="minorHAnsi"/>
          <w:szCs w:val="24"/>
        </w:rPr>
        <w:t>a</w:t>
      </w:r>
      <w:r w:rsidR="00486E5C" w:rsidRPr="0080490E">
        <w:rPr>
          <w:rFonts w:asciiTheme="minorHAnsi" w:hAnsiTheme="minorHAnsi" w:cstheme="minorHAnsi"/>
          <w:szCs w:val="24"/>
        </w:rPr>
        <w:t xml:space="preserve"> </w:t>
      </w:r>
      <w:r w:rsidR="00AF21BE" w:rsidRPr="0080490E">
        <w:rPr>
          <w:rFonts w:asciiTheme="minorHAnsi" w:hAnsiTheme="minorHAnsi" w:cstheme="minorHAnsi"/>
          <w:szCs w:val="24"/>
        </w:rPr>
        <w:t>la digitalización</w:t>
      </w:r>
      <w:r w:rsidR="008438AC" w:rsidRPr="0080490E">
        <w:rPr>
          <w:rFonts w:asciiTheme="minorHAnsi" w:hAnsiTheme="minorHAnsi" w:cstheme="minorHAnsi"/>
          <w:szCs w:val="24"/>
        </w:rPr>
        <w:t>,</w:t>
      </w:r>
      <w:r w:rsidR="00486E5C" w:rsidRPr="0080490E">
        <w:rPr>
          <w:rFonts w:asciiTheme="minorHAnsi" w:hAnsiTheme="minorHAnsi" w:cstheme="minorHAnsi"/>
          <w:szCs w:val="24"/>
        </w:rPr>
        <w:t xml:space="preserve"> los tokens </w:t>
      </w:r>
      <w:r w:rsidR="006523E6" w:rsidRPr="0080490E">
        <w:rPr>
          <w:rFonts w:asciiTheme="minorHAnsi" w:hAnsiTheme="minorHAnsi" w:cstheme="minorHAnsi"/>
          <w:szCs w:val="24"/>
        </w:rPr>
        <w:t>quedarán</w:t>
      </w:r>
      <w:r w:rsidR="00486E5C" w:rsidRPr="0080490E">
        <w:rPr>
          <w:rFonts w:asciiTheme="minorHAnsi" w:hAnsiTheme="minorHAnsi" w:cstheme="minorHAnsi"/>
          <w:szCs w:val="24"/>
        </w:rPr>
        <w:t xml:space="preserve"> custodiado</w:t>
      </w:r>
      <w:r w:rsidR="004332DD" w:rsidRPr="0080490E">
        <w:rPr>
          <w:rFonts w:asciiTheme="minorHAnsi" w:hAnsiTheme="minorHAnsi" w:cstheme="minorHAnsi"/>
          <w:szCs w:val="24"/>
        </w:rPr>
        <w:t>s</w:t>
      </w:r>
      <w:r w:rsidR="00486E5C" w:rsidRPr="0080490E">
        <w:rPr>
          <w:rFonts w:asciiTheme="minorHAnsi" w:hAnsiTheme="minorHAnsi" w:cstheme="minorHAnsi"/>
          <w:szCs w:val="24"/>
        </w:rPr>
        <w:t xml:space="preserve"> en una cadena de bloques y</w:t>
      </w:r>
      <w:r w:rsidRPr="0080490E">
        <w:rPr>
          <w:rFonts w:asciiTheme="minorHAnsi" w:hAnsiTheme="minorHAnsi" w:cstheme="minorHAnsi"/>
          <w:szCs w:val="24"/>
        </w:rPr>
        <w:t xml:space="preserve"> </w:t>
      </w:r>
      <w:r w:rsidR="000F66AA" w:rsidRPr="0080490E">
        <w:rPr>
          <w:rFonts w:asciiTheme="minorHAnsi" w:hAnsiTheme="minorHAnsi" w:cstheme="minorHAnsi"/>
          <w:szCs w:val="24"/>
        </w:rPr>
        <w:t>su</w:t>
      </w:r>
      <w:r w:rsidRPr="0080490E">
        <w:rPr>
          <w:rFonts w:asciiTheme="minorHAnsi" w:hAnsiTheme="minorHAnsi" w:cstheme="minorHAnsi"/>
          <w:szCs w:val="24"/>
        </w:rPr>
        <w:t xml:space="preserve"> emisor </w:t>
      </w:r>
      <w:r w:rsidR="006523E6" w:rsidRPr="0080490E">
        <w:rPr>
          <w:rFonts w:asciiTheme="minorHAnsi" w:hAnsiTheme="minorHAnsi" w:cstheme="minorHAnsi"/>
          <w:szCs w:val="24"/>
        </w:rPr>
        <w:t>iniciará</w:t>
      </w:r>
      <w:r w:rsidRPr="0080490E">
        <w:rPr>
          <w:rFonts w:asciiTheme="minorHAnsi" w:hAnsiTheme="minorHAnsi" w:cstheme="minorHAnsi"/>
          <w:szCs w:val="24"/>
        </w:rPr>
        <w:t xml:space="preserve"> </w:t>
      </w:r>
      <w:r w:rsidR="00486E5C" w:rsidRPr="0080490E">
        <w:rPr>
          <w:rFonts w:asciiTheme="minorHAnsi" w:hAnsiTheme="minorHAnsi" w:cstheme="minorHAnsi"/>
          <w:szCs w:val="24"/>
        </w:rPr>
        <w:t>su</w:t>
      </w:r>
      <w:r w:rsidRPr="0080490E">
        <w:rPr>
          <w:rFonts w:asciiTheme="minorHAnsi" w:hAnsiTheme="minorHAnsi" w:cstheme="minorHAnsi"/>
          <w:szCs w:val="24"/>
        </w:rPr>
        <w:t xml:space="preserve"> c</w:t>
      </w:r>
      <w:r w:rsidR="00E86AE5" w:rsidRPr="0080490E">
        <w:rPr>
          <w:rFonts w:asciiTheme="minorHAnsi" w:hAnsiTheme="minorHAnsi" w:cstheme="minorHAnsi"/>
          <w:szCs w:val="24"/>
        </w:rPr>
        <w:t xml:space="preserve">omercialización. </w:t>
      </w:r>
      <w:r w:rsidR="00A121DD" w:rsidRPr="0080490E">
        <w:rPr>
          <w:rFonts w:asciiTheme="minorHAnsi" w:hAnsiTheme="minorHAnsi" w:cstheme="minorHAnsi"/>
          <w:szCs w:val="24"/>
        </w:rPr>
        <w:t xml:space="preserve">En esta </w:t>
      </w:r>
      <w:r w:rsidR="00AF21BE" w:rsidRPr="0080490E">
        <w:rPr>
          <w:rFonts w:asciiTheme="minorHAnsi" w:hAnsiTheme="minorHAnsi" w:cstheme="minorHAnsi"/>
          <w:szCs w:val="24"/>
        </w:rPr>
        <w:t>tercera</w:t>
      </w:r>
      <w:r w:rsidR="00A121DD" w:rsidRPr="0080490E">
        <w:rPr>
          <w:rFonts w:asciiTheme="minorHAnsi" w:hAnsiTheme="minorHAnsi" w:cstheme="minorHAnsi"/>
          <w:szCs w:val="24"/>
        </w:rPr>
        <w:t xml:space="preserve"> fase</w:t>
      </w:r>
      <w:r w:rsidR="00486E5C" w:rsidRPr="0080490E">
        <w:rPr>
          <w:rFonts w:asciiTheme="minorHAnsi" w:hAnsiTheme="minorHAnsi" w:cstheme="minorHAnsi"/>
          <w:szCs w:val="24"/>
        </w:rPr>
        <w:t xml:space="preserve">, el promotor publicitará el proyecto para atraer inversores interesados en adquirir los tokens. </w:t>
      </w:r>
      <w:r w:rsidR="00A121DD" w:rsidRPr="0080490E">
        <w:rPr>
          <w:rFonts w:asciiTheme="minorHAnsi" w:hAnsiTheme="minorHAnsi" w:cstheme="minorHAnsi"/>
          <w:szCs w:val="24"/>
        </w:rPr>
        <w:t xml:space="preserve">Para ello, empleará una plataforma en línea en la que publicará </w:t>
      </w:r>
      <w:r w:rsidR="00025FAD" w:rsidRPr="0080490E">
        <w:rPr>
          <w:rFonts w:asciiTheme="minorHAnsi" w:hAnsiTheme="minorHAnsi" w:cstheme="minorHAnsi"/>
          <w:szCs w:val="24"/>
        </w:rPr>
        <w:t xml:space="preserve">la </w:t>
      </w:r>
      <w:r w:rsidR="00A121DD" w:rsidRPr="0080490E">
        <w:rPr>
          <w:rFonts w:asciiTheme="minorHAnsi" w:hAnsiTheme="minorHAnsi" w:cstheme="minorHAnsi"/>
          <w:szCs w:val="24"/>
        </w:rPr>
        <w:t>información relativa al inmueble</w:t>
      </w:r>
      <w:r w:rsidR="008438AC" w:rsidRPr="0080490E">
        <w:rPr>
          <w:rFonts w:asciiTheme="minorHAnsi" w:hAnsiTheme="minorHAnsi" w:cstheme="minorHAnsi"/>
          <w:szCs w:val="24"/>
        </w:rPr>
        <w:t xml:space="preserve"> y </w:t>
      </w:r>
      <w:r w:rsidR="00A121DD" w:rsidRPr="0080490E">
        <w:rPr>
          <w:rFonts w:asciiTheme="minorHAnsi" w:hAnsiTheme="minorHAnsi" w:cstheme="minorHAnsi"/>
          <w:szCs w:val="24"/>
        </w:rPr>
        <w:t>a través de la cual se puede</w:t>
      </w:r>
      <w:r w:rsidR="000F66AA" w:rsidRPr="0080490E">
        <w:rPr>
          <w:rFonts w:asciiTheme="minorHAnsi" w:hAnsiTheme="minorHAnsi" w:cstheme="minorHAnsi"/>
          <w:szCs w:val="24"/>
        </w:rPr>
        <w:t>n</w:t>
      </w:r>
      <w:r w:rsidR="00A121DD" w:rsidRPr="0080490E">
        <w:rPr>
          <w:rFonts w:asciiTheme="minorHAnsi" w:hAnsiTheme="minorHAnsi" w:cstheme="minorHAnsi"/>
          <w:szCs w:val="24"/>
        </w:rPr>
        <w:t xml:space="preserve"> adquirir </w:t>
      </w:r>
      <w:r w:rsidR="005437E1" w:rsidRPr="0080490E">
        <w:rPr>
          <w:rFonts w:asciiTheme="minorHAnsi" w:hAnsiTheme="minorHAnsi" w:cstheme="minorHAnsi"/>
          <w:szCs w:val="24"/>
        </w:rPr>
        <w:t xml:space="preserve">los </w:t>
      </w:r>
      <w:r w:rsidR="00A121DD" w:rsidRPr="0080490E">
        <w:rPr>
          <w:rFonts w:asciiTheme="minorHAnsi" w:hAnsiTheme="minorHAnsi" w:cstheme="minorHAnsi"/>
          <w:szCs w:val="24"/>
        </w:rPr>
        <w:t xml:space="preserve">tokens. </w:t>
      </w:r>
      <w:r w:rsidR="00486E5C" w:rsidRPr="0080490E">
        <w:rPr>
          <w:rFonts w:asciiTheme="minorHAnsi" w:hAnsiTheme="minorHAnsi" w:cstheme="minorHAnsi"/>
          <w:szCs w:val="24"/>
        </w:rPr>
        <w:t xml:space="preserve">Mediante un documento informativo, comúnmente conocido como </w:t>
      </w:r>
      <w:proofErr w:type="spellStart"/>
      <w:r w:rsidR="00486E5C" w:rsidRPr="0080490E">
        <w:rPr>
          <w:rFonts w:asciiTheme="minorHAnsi" w:hAnsiTheme="minorHAnsi" w:cstheme="minorHAnsi"/>
          <w:i/>
          <w:iCs/>
          <w:szCs w:val="24"/>
        </w:rPr>
        <w:t>whitepaper</w:t>
      </w:r>
      <w:proofErr w:type="spellEnd"/>
      <w:r w:rsidR="00486E5C" w:rsidRPr="0080490E">
        <w:rPr>
          <w:rFonts w:asciiTheme="minorHAnsi" w:hAnsiTheme="minorHAnsi" w:cstheme="minorHAnsi"/>
          <w:szCs w:val="24"/>
        </w:rPr>
        <w:t xml:space="preserve">, la entidad promotora presenta su plan de negocio para el inmueble, las proyecciones de rentabilidad derivadas de su explotación, así como </w:t>
      </w:r>
      <w:r w:rsidR="00025FAD" w:rsidRPr="0080490E">
        <w:rPr>
          <w:rFonts w:asciiTheme="minorHAnsi" w:hAnsiTheme="minorHAnsi" w:cstheme="minorHAnsi"/>
          <w:szCs w:val="24"/>
        </w:rPr>
        <w:t xml:space="preserve">información sobre el significado legal y </w:t>
      </w:r>
      <w:r w:rsidR="00486E5C" w:rsidRPr="0080490E">
        <w:rPr>
          <w:rFonts w:asciiTheme="minorHAnsi" w:hAnsiTheme="minorHAnsi" w:cstheme="minorHAnsi"/>
          <w:szCs w:val="24"/>
        </w:rPr>
        <w:t>técnic</w:t>
      </w:r>
      <w:r w:rsidR="00025FAD" w:rsidRPr="0080490E">
        <w:rPr>
          <w:rFonts w:asciiTheme="minorHAnsi" w:hAnsiTheme="minorHAnsi" w:cstheme="minorHAnsi"/>
          <w:szCs w:val="24"/>
        </w:rPr>
        <w:t>o</w:t>
      </w:r>
      <w:r w:rsidR="00486E5C" w:rsidRPr="0080490E">
        <w:rPr>
          <w:rFonts w:asciiTheme="minorHAnsi" w:hAnsiTheme="minorHAnsi" w:cstheme="minorHAnsi"/>
          <w:szCs w:val="24"/>
        </w:rPr>
        <w:t xml:space="preserve"> </w:t>
      </w:r>
      <w:r w:rsidR="00025FAD" w:rsidRPr="0080490E">
        <w:rPr>
          <w:rFonts w:asciiTheme="minorHAnsi" w:hAnsiTheme="minorHAnsi" w:cstheme="minorHAnsi"/>
          <w:szCs w:val="24"/>
        </w:rPr>
        <w:t>d</w:t>
      </w:r>
      <w:r w:rsidR="00486E5C" w:rsidRPr="0080490E">
        <w:rPr>
          <w:rFonts w:asciiTheme="minorHAnsi" w:hAnsiTheme="minorHAnsi" w:cstheme="minorHAnsi"/>
          <w:szCs w:val="24"/>
        </w:rPr>
        <w:t>el token</w:t>
      </w:r>
      <w:r w:rsidR="00E60AA0" w:rsidRPr="0080490E">
        <w:rPr>
          <w:rStyle w:val="Refdenotaalpie"/>
          <w:rFonts w:asciiTheme="minorHAnsi" w:hAnsiTheme="minorHAnsi" w:cstheme="minorHAnsi"/>
          <w:szCs w:val="24"/>
        </w:rPr>
        <w:footnoteReference w:id="21"/>
      </w:r>
      <w:r w:rsidR="00750631" w:rsidRPr="0080490E">
        <w:rPr>
          <w:rFonts w:asciiTheme="minorHAnsi" w:hAnsiTheme="minorHAnsi" w:cstheme="minorHAnsi"/>
          <w:szCs w:val="24"/>
        </w:rPr>
        <w:t>.</w:t>
      </w:r>
    </w:p>
    <w:p w14:paraId="4703AA36" w14:textId="1D811024" w:rsidR="00217BB9" w:rsidRPr="0080490E" w:rsidRDefault="00217BB9"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En un modelo de financiación directa, la entidad financiada </w:t>
      </w:r>
      <w:r w:rsidR="008438AC" w:rsidRPr="0080490E">
        <w:rPr>
          <w:rFonts w:asciiTheme="minorHAnsi" w:hAnsiTheme="minorHAnsi" w:cstheme="minorHAnsi"/>
          <w:szCs w:val="24"/>
        </w:rPr>
        <w:t xml:space="preserve">y el responsable de la plataforma de </w:t>
      </w:r>
      <w:r w:rsidR="00025FAD" w:rsidRPr="0080490E">
        <w:rPr>
          <w:rFonts w:asciiTheme="minorHAnsi" w:hAnsiTheme="minorHAnsi" w:cstheme="minorHAnsi"/>
          <w:szCs w:val="24"/>
        </w:rPr>
        <w:t>emisión</w:t>
      </w:r>
      <w:r w:rsidR="008438AC" w:rsidRPr="0080490E">
        <w:rPr>
          <w:rFonts w:asciiTheme="minorHAnsi" w:hAnsiTheme="minorHAnsi" w:cstheme="minorHAnsi"/>
          <w:szCs w:val="24"/>
        </w:rPr>
        <w:t xml:space="preserve"> </w:t>
      </w:r>
      <w:r w:rsidRPr="0080490E">
        <w:rPr>
          <w:rFonts w:asciiTheme="minorHAnsi" w:hAnsiTheme="minorHAnsi" w:cstheme="minorHAnsi"/>
          <w:szCs w:val="24"/>
        </w:rPr>
        <w:t xml:space="preserve">son la misma persona o forman parte del mismo entramado empresarial. Esta nota </w:t>
      </w:r>
      <w:r w:rsidR="00180695" w:rsidRPr="0080490E">
        <w:rPr>
          <w:rFonts w:asciiTheme="minorHAnsi" w:hAnsiTheme="minorHAnsi" w:cstheme="minorHAnsi"/>
          <w:szCs w:val="24"/>
        </w:rPr>
        <w:t>también</w:t>
      </w:r>
      <w:r w:rsidR="006C5D2F" w:rsidRPr="0080490E">
        <w:rPr>
          <w:rFonts w:asciiTheme="minorHAnsi" w:hAnsiTheme="minorHAnsi" w:cstheme="minorHAnsi"/>
          <w:szCs w:val="24"/>
        </w:rPr>
        <w:t xml:space="preserve"> </w:t>
      </w:r>
      <w:r w:rsidRPr="0080490E">
        <w:rPr>
          <w:rFonts w:asciiTheme="minorHAnsi" w:hAnsiTheme="minorHAnsi" w:cstheme="minorHAnsi"/>
          <w:szCs w:val="24"/>
        </w:rPr>
        <w:t xml:space="preserve">perfila el régimen jurídico aplicable </w:t>
      </w:r>
      <w:r w:rsidR="00180695" w:rsidRPr="0080490E">
        <w:rPr>
          <w:rFonts w:asciiTheme="minorHAnsi" w:hAnsiTheme="minorHAnsi" w:cstheme="minorHAnsi"/>
          <w:szCs w:val="24"/>
        </w:rPr>
        <w:t>porque</w:t>
      </w:r>
      <w:r w:rsidRPr="0080490E">
        <w:rPr>
          <w:rFonts w:asciiTheme="minorHAnsi" w:hAnsiTheme="minorHAnsi" w:cstheme="minorHAnsi"/>
          <w:szCs w:val="24"/>
        </w:rPr>
        <w:t xml:space="preserve"> exclu</w:t>
      </w:r>
      <w:r w:rsidR="00180695" w:rsidRPr="0080490E">
        <w:rPr>
          <w:rFonts w:asciiTheme="minorHAnsi" w:hAnsiTheme="minorHAnsi" w:cstheme="minorHAnsi"/>
          <w:szCs w:val="24"/>
        </w:rPr>
        <w:t>ye</w:t>
      </w:r>
      <w:r w:rsidRPr="0080490E">
        <w:rPr>
          <w:rFonts w:asciiTheme="minorHAnsi" w:hAnsiTheme="minorHAnsi" w:cstheme="minorHAnsi"/>
          <w:szCs w:val="24"/>
        </w:rPr>
        <w:t xml:space="preserve"> la regulación de las plataformas de financiación participativa en las que </w:t>
      </w:r>
      <w:r w:rsidR="002D2219" w:rsidRPr="0080490E">
        <w:rPr>
          <w:rFonts w:asciiTheme="minorHAnsi" w:hAnsiTheme="minorHAnsi" w:cstheme="minorHAnsi"/>
          <w:szCs w:val="24"/>
        </w:rPr>
        <w:t>se precisa</w:t>
      </w:r>
      <w:r w:rsidRPr="0080490E">
        <w:rPr>
          <w:rFonts w:asciiTheme="minorHAnsi" w:hAnsiTheme="minorHAnsi" w:cstheme="minorHAnsi"/>
          <w:szCs w:val="24"/>
        </w:rPr>
        <w:t xml:space="preserve"> una relación trilateral entre el promotor, el inversor y </w:t>
      </w:r>
      <w:r w:rsidR="003966AE" w:rsidRPr="0080490E">
        <w:rPr>
          <w:rFonts w:asciiTheme="minorHAnsi" w:hAnsiTheme="minorHAnsi" w:cstheme="minorHAnsi"/>
          <w:szCs w:val="24"/>
        </w:rPr>
        <w:t>la</w:t>
      </w:r>
      <w:r w:rsidRPr="0080490E">
        <w:rPr>
          <w:rFonts w:asciiTheme="minorHAnsi" w:hAnsiTheme="minorHAnsi" w:cstheme="minorHAnsi"/>
          <w:szCs w:val="24"/>
        </w:rPr>
        <w:t xml:space="preserve"> plataforma de intermediación.</w:t>
      </w:r>
    </w:p>
    <w:p w14:paraId="6B2456D7" w14:textId="4F610EC9" w:rsidR="001E644C" w:rsidRPr="0080490E" w:rsidRDefault="00E86AE5"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Los inversores pueden adquirir los tokens remitiendo a la dirección del </w:t>
      </w:r>
      <w:proofErr w:type="spellStart"/>
      <w:r w:rsidRPr="0080490E">
        <w:rPr>
          <w:rFonts w:asciiTheme="minorHAnsi" w:hAnsiTheme="minorHAnsi" w:cstheme="minorHAnsi"/>
          <w:i/>
          <w:iCs/>
          <w:szCs w:val="24"/>
        </w:rPr>
        <w:t>smart</w:t>
      </w:r>
      <w:proofErr w:type="spellEnd"/>
      <w:r w:rsidRPr="0080490E">
        <w:rPr>
          <w:rFonts w:asciiTheme="minorHAnsi" w:hAnsiTheme="minorHAnsi" w:cstheme="minorHAnsi"/>
          <w:i/>
          <w:iCs/>
          <w:szCs w:val="24"/>
        </w:rPr>
        <w:t xml:space="preserve"> </w:t>
      </w:r>
      <w:proofErr w:type="spellStart"/>
      <w:r w:rsidRPr="0080490E">
        <w:rPr>
          <w:rFonts w:asciiTheme="minorHAnsi" w:hAnsiTheme="minorHAnsi" w:cstheme="minorHAnsi"/>
          <w:i/>
          <w:iCs/>
          <w:szCs w:val="24"/>
        </w:rPr>
        <w:t>contract</w:t>
      </w:r>
      <w:proofErr w:type="spellEnd"/>
      <w:r w:rsidRPr="0080490E">
        <w:rPr>
          <w:rFonts w:asciiTheme="minorHAnsi" w:hAnsiTheme="minorHAnsi" w:cstheme="minorHAnsi"/>
          <w:szCs w:val="24"/>
        </w:rPr>
        <w:t xml:space="preserve"> en el que están alojados el valor económico </w:t>
      </w:r>
      <w:r w:rsidR="00894EE6" w:rsidRPr="0080490E">
        <w:rPr>
          <w:rFonts w:asciiTheme="minorHAnsi" w:hAnsiTheme="minorHAnsi" w:cstheme="minorHAnsi"/>
          <w:szCs w:val="24"/>
        </w:rPr>
        <w:t xml:space="preserve">en criptomonedas </w:t>
      </w:r>
      <w:r w:rsidRPr="0080490E">
        <w:rPr>
          <w:rFonts w:asciiTheme="minorHAnsi" w:hAnsiTheme="minorHAnsi" w:cstheme="minorHAnsi"/>
          <w:szCs w:val="24"/>
        </w:rPr>
        <w:t>q</w:t>
      </w:r>
      <w:r w:rsidR="0042683E" w:rsidRPr="0080490E">
        <w:rPr>
          <w:rFonts w:asciiTheme="minorHAnsi" w:hAnsiTheme="minorHAnsi" w:cstheme="minorHAnsi"/>
          <w:szCs w:val="24"/>
        </w:rPr>
        <w:t>ue el promotor ha asignado</w:t>
      </w:r>
      <w:r w:rsidR="00486E5C" w:rsidRPr="0080490E">
        <w:rPr>
          <w:rFonts w:asciiTheme="minorHAnsi" w:hAnsiTheme="minorHAnsi" w:cstheme="minorHAnsi"/>
          <w:szCs w:val="24"/>
        </w:rPr>
        <w:t xml:space="preserve"> al token</w:t>
      </w:r>
      <w:r w:rsidR="0042683E" w:rsidRPr="0080490E">
        <w:rPr>
          <w:rFonts w:asciiTheme="minorHAnsi" w:hAnsiTheme="minorHAnsi" w:cstheme="minorHAnsi"/>
          <w:szCs w:val="24"/>
        </w:rPr>
        <w:t>.</w:t>
      </w:r>
      <w:r w:rsidR="00610DD3" w:rsidRPr="0080490E">
        <w:rPr>
          <w:rFonts w:asciiTheme="minorHAnsi" w:hAnsiTheme="minorHAnsi" w:cstheme="minorHAnsi"/>
          <w:szCs w:val="24"/>
        </w:rPr>
        <w:t xml:space="preserve"> Una vez adquiridos, los tokens se remitirán a la billetera electrónica (</w:t>
      </w:r>
      <w:proofErr w:type="spellStart"/>
      <w:r w:rsidR="00610DD3" w:rsidRPr="0080490E">
        <w:rPr>
          <w:rFonts w:asciiTheme="minorHAnsi" w:hAnsiTheme="minorHAnsi" w:cstheme="minorHAnsi"/>
          <w:i/>
          <w:iCs/>
          <w:szCs w:val="24"/>
        </w:rPr>
        <w:t>wallet</w:t>
      </w:r>
      <w:proofErr w:type="spellEnd"/>
      <w:r w:rsidR="00610DD3" w:rsidRPr="0080490E">
        <w:rPr>
          <w:rFonts w:asciiTheme="minorHAnsi" w:hAnsiTheme="minorHAnsi" w:cstheme="minorHAnsi"/>
          <w:szCs w:val="24"/>
        </w:rPr>
        <w:t xml:space="preserve">) del adquirente. Dado que </w:t>
      </w:r>
      <w:r w:rsidR="00894EE6" w:rsidRPr="0080490E">
        <w:rPr>
          <w:rFonts w:asciiTheme="minorHAnsi" w:hAnsiTheme="minorHAnsi" w:cstheme="minorHAnsi"/>
          <w:szCs w:val="24"/>
        </w:rPr>
        <w:t xml:space="preserve">el </w:t>
      </w:r>
      <w:r w:rsidR="00610DD3" w:rsidRPr="0080490E">
        <w:rPr>
          <w:rFonts w:asciiTheme="minorHAnsi" w:hAnsiTheme="minorHAnsi" w:cstheme="minorHAnsi"/>
          <w:szCs w:val="24"/>
        </w:rPr>
        <w:t>contexto</w:t>
      </w:r>
      <w:r w:rsidR="00894EE6" w:rsidRPr="0080490E">
        <w:rPr>
          <w:rFonts w:asciiTheme="minorHAnsi" w:hAnsiTheme="minorHAnsi" w:cstheme="minorHAnsi"/>
          <w:szCs w:val="24"/>
        </w:rPr>
        <w:t xml:space="preserve"> en el que se desarrolla la inversión es una cadena de bloques, la adquisición de</w:t>
      </w:r>
      <w:r w:rsidR="001A5AB9" w:rsidRPr="0080490E">
        <w:rPr>
          <w:rFonts w:asciiTheme="minorHAnsi" w:hAnsiTheme="minorHAnsi" w:cstheme="minorHAnsi"/>
          <w:szCs w:val="24"/>
        </w:rPr>
        <w:t xml:space="preserve"> los tokens </w:t>
      </w:r>
      <w:r w:rsidR="00610DD3" w:rsidRPr="0080490E">
        <w:rPr>
          <w:rFonts w:asciiTheme="minorHAnsi" w:hAnsiTheme="minorHAnsi" w:cstheme="minorHAnsi"/>
          <w:szCs w:val="24"/>
        </w:rPr>
        <w:t xml:space="preserve">precisará de </w:t>
      </w:r>
      <w:r w:rsidR="001A5AB9" w:rsidRPr="0080490E">
        <w:rPr>
          <w:rFonts w:asciiTheme="minorHAnsi" w:hAnsiTheme="minorHAnsi" w:cstheme="minorHAnsi"/>
          <w:szCs w:val="24"/>
        </w:rPr>
        <w:t>criptomonedas que el inversor deberá previamente adquirir</w:t>
      </w:r>
      <w:r w:rsidR="002170F4" w:rsidRPr="0080490E">
        <w:rPr>
          <w:rStyle w:val="Refdenotaalpie"/>
          <w:rFonts w:asciiTheme="minorHAnsi" w:hAnsiTheme="minorHAnsi" w:cstheme="minorHAnsi"/>
          <w:szCs w:val="24"/>
        </w:rPr>
        <w:footnoteReference w:id="22"/>
      </w:r>
      <w:r w:rsidR="001A5AB9" w:rsidRPr="0080490E">
        <w:rPr>
          <w:rFonts w:asciiTheme="minorHAnsi" w:hAnsiTheme="minorHAnsi" w:cstheme="minorHAnsi"/>
          <w:szCs w:val="24"/>
        </w:rPr>
        <w:t>.</w:t>
      </w:r>
    </w:p>
    <w:p w14:paraId="1FD03E05" w14:textId="65DAC538" w:rsidR="005050FA" w:rsidRPr="0080490E" w:rsidRDefault="00494E92"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Si</w:t>
      </w:r>
      <w:r w:rsidR="005050FA" w:rsidRPr="0080490E">
        <w:rPr>
          <w:rFonts w:asciiTheme="minorHAnsi" w:hAnsiTheme="minorHAnsi" w:cstheme="minorHAnsi"/>
          <w:szCs w:val="24"/>
        </w:rPr>
        <w:t xml:space="preserve"> </w:t>
      </w:r>
      <w:r w:rsidRPr="0080490E">
        <w:rPr>
          <w:rFonts w:asciiTheme="minorHAnsi" w:hAnsiTheme="minorHAnsi" w:cstheme="minorHAnsi"/>
          <w:szCs w:val="24"/>
        </w:rPr>
        <w:t>la</w:t>
      </w:r>
      <w:r w:rsidR="005050FA" w:rsidRPr="0080490E">
        <w:rPr>
          <w:rFonts w:asciiTheme="minorHAnsi" w:hAnsiTheme="minorHAnsi" w:cstheme="minorHAnsi"/>
          <w:szCs w:val="24"/>
        </w:rPr>
        <w:t xml:space="preserve"> tokenización constituye una nueva forma de financiación, la adquisición del inmueble</w:t>
      </w:r>
      <w:r w:rsidR="007973D9" w:rsidRPr="0080490E">
        <w:rPr>
          <w:rFonts w:asciiTheme="minorHAnsi" w:hAnsiTheme="minorHAnsi" w:cstheme="minorHAnsi"/>
          <w:szCs w:val="24"/>
        </w:rPr>
        <w:t xml:space="preserve"> y de los tokens</w:t>
      </w:r>
      <w:r w:rsidR="005050FA" w:rsidRPr="0080490E">
        <w:rPr>
          <w:rFonts w:asciiTheme="minorHAnsi" w:hAnsiTheme="minorHAnsi" w:cstheme="minorHAnsi"/>
          <w:szCs w:val="24"/>
        </w:rPr>
        <w:t xml:space="preserve"> </w:t>
      </w:r>
      <w:r w:rsidR="00610DD3" w:rsidRPr="0080490E">
        <w:rPr>
          <w:rFonts w:asciiTheme="minorHAnsi" w:hAnsiTheme="minorHAnsi" w:cstheme="minorHAnsi"/>
          <w:szCs w:val="24"/>
        </w:rPr>
        <w:t>puede</w:t>
      </w:r>
      <w:r w:rsidR="005050FA" w:rsidRPr="0080490E">
        <w:rPr>
          <w:rFonts w:asciiTheme="minorHAnsi" w:hAnsiTheme="minorHAnsi" w:cstheme="minorHAnsi"/>
          <w:szCs w:val="24"/>
        </w:rPr>
        <w:t xml:space="preserve"> condicion</w:t>
      </w:r>
      <w:r w:rsidR="00610DD3" w:rsidRPr="0080490E">
        <w:rPr>
          <w:rFonts w:asciiTheme="minorHAnsi" w:hAnsiTheme="minorHAnsi" w:cstheme="minorHAnsi"/>
          <w:szCs w:val="24"/>
        </w:rPr>
        <w:t xml:space="preserve">arse </w:t>
      </w:r>
      <w:r w:rsidR="005050FA" w:rsidRPr="0080490E">
        <w:rPr>
          <w:rFonts w:asciiTheme="minorHAnsi" w:hAnsiTheme="minorHAnsi" w:cstheme="minorHAnsi"/>
          <w:szCs w:val="24"/>
        </w:rPr>
        <w:t>a</w:t>
      </w:r>
      <w:r w:rsidR="007973D9" w:rsidRPr="0080490E">
        <w:rPr>
          <w:rFonts w:asciiTheme="minorHAnsi" w:hAnsiTheme="minorHAnsi" w:cstheme="minorHAnsi"/>
          <w:szCs w:val="24"/>
        </w:rPr>
        <w:t>l éxito de la operación</w:t>
      </w:r>
      <w:r w:rsidR="0042683E" w:rsidRPr="0080490E">
        <w:rPr>
          <w:rFonts w:asciiTheme="minorHAnsi" w:hAnsiTheme="minorHAnsi" w:cstheme="minorHAnsi"/>
          <w:szCs w:val="24"/>
        </w:rPr>
        <w:t>. Desde una perspectiva contractual, esta cuestión puede articular</w:t>
      </w:r>
      <w:r w:rsidR="00941E86" w:rsidRPr="0080490E">
        <w:rPr>
          <w:rFonts w:asciiTheme="minorHAnsi" w:hAnsiTheme="minorHAnsi" w:cstheme="minorHAnsi"/>
          <w:szCs w:val="24"/>
        </w:rPr>
        <w:t>se</w:t>
      </w:r>
      <w:r w:rsidR="0042683E" w:rsidRPr="0080490E">
        <w:rPr>
          <w:rFonts w:asciiTheme="minorHAnsi" w:hAnsiTheme="minorHAnsi" w:cstheme="minorHAnsi"/>
          <w:szCs w:val="24"/>
        </w:rPr>
        <w:t xml:space="preserve"> a través de condici</w:t>
      </w:r>
      <w:r w:rsidR="005D6EFF" w:rsidRPr="0080490E">
        <w:rPr>
          <w:rFonts w:asciiTheme="minorHAnsi" w:hAnsiTheme="minorHAnsi" w:cstheme="minorHAnsi"/>
          <w:szCs w:val="24"/>
        </w:rPr>
        <w:t>o</w:t>
      </w:r>
      <w:r w:rsidR="0042683E" w:rsidRPr="0080490E">
        <w:rPr>
          <w:rFonts w:asciiTheme="minorHAnsi" w:hAnsiTheme="minorHAnsi" w:cstheme="minorHAnsi"/>
          <w:szCs w:val="24"/>
        </w:rPr>
        <w:t>n</w:t>
      </w:r>
      <w:r w:rsidR="005D6EFF" w:rsidRPr="0080490E">
        <w:rPr>
          <w:rFonts w:asciiTheme="minorHAnsi" w:hAnsiTheme="minorHAnsi" w:cstheme="minorHAnsi"/>
          <w:szCs w:val="24"/>
        </w:rPr>
        <w:t>es</w:t>
      </w:r>
      <w:r w:rsidR="0042683E" w:rsidRPr="0080490E">
        <w:rPr>
          <w:rFonts w:asciiTheme="minorHAnsi" w:hAnsiTheme="minorHAnsi" w:cstheme="minorHAnsi"/>
          <w:szCs w:val="24"/>
        </w:rPr>
        <w:t xml:space="preserve"> resolutoria</w:t>
      </w:r>
      <w:r w:rsidR="005D6EFF" w:rsidRPr="0080490E">
        <w:rPr>
          <w:rFonts w:asciiTheme="minorHAnsi" w:hAnsiTheme="minorHAnsi" w:cstheme="minorHAnsi"/>
          <w:szCs w:val="24"/>
        </w:rPr>
        <w:t>s</w:t>
      </w:r>
      <w:r w:rsidR="0042683E" w:rsidRPr="0080490E">
        <w:rPr>
          <w:rFonts w:asciiTheme="minorHAnsi" w:hAnsiTheme="minorHAnsi" w:cstheme="minorHAnsi"/>
          <w:szCs w:val="24"/>
        </w:rPr>
        <w:t xml:space="preserve">. En este caso, la financiación </w:t>
      </w:r>
      <w:r w:rsidR="00180695" w:rsidRPr="0080490E">
        <w:rPr>
          <w:rFonts w:asciiTheme="minorHAnsi" w:hAnsiTheme="minorHAnsi" w:cstheme="minorHAnsi"/>
          <w:szCs w:val="24"/>
        </w:rPr>
        <w:t xml:space="preserve">completa del proyecto </w:t>
      </w:r>
      <w:r w:rsidR="0042683E" w:rsidRPr="0080490E">
        <w:rPr>
          <w:rFonts w:asciiTheme="minorHAnsi" w:hAnsiTheme="minorHAnsi" w:cstheme="minorHAnsi"/>
          <w:szCs w:val="24"/>
        </w:rPr>
        <w:t>constituirá un evento futuro e incierto del que se hace depender la subsistencia de la relación</w:t>
      </w:r>
      <w:r w:rsidR="0042683E" w:rsidRPr="0080490E">
        <w:rPr>
          <w:rStyle w:val="Refdenotaalpie"/>
          <w:rFonts w:asciiTheme="minorHAnsi" w:hAnsiTheme="minorHAnsi" w:cstheme="minorHAnsi"/>
          <w:szCs w:val="24"/>
        </w:rPr>
        <w:footnoteReference w:id="23"/>
      </w:r>
      <w:r w:rsidR="0042683E" w:rsidRPr="0080490E">
        <w:rPr>
          <w:rFonts w:asciiTheme="minorHAnsi" w:hAnsiTheme="minorHAnsi" w:cstheme="minorHAnsi"/>
          <w:szCs w:val="24"/>
        </w:rPr>
        <w:t xml:space="preserve">. De ahí que si fracasa </w:t>
      </w:r>
      <w:r w:rsidR="00180695" w:rsidRPr="0080490E">
        <w:rPr>
          <w:rFonts w:asciiTheme="minorHAnsi" w:hAnsiTheme="minorHAnsi" w:cstheme="minorHAnsi"/>
          <w:szCs w:val="24"/>
        </w:rPr>
        <w:t>la operación</w:t>
      </w:r>
      <w:r w:rsidR="0042683E" w:rsidRPr="0080490E">
        <w:rPr>
          <w:rFonts w:asciiTheme="minorHAnsi" w:hAnsiTheme="minorHAnsi" w:cstheme="minorHAnsi"/>
          <w:szCs w:val="24"/>
        </w:rPr>
        <w:t xml:space="preserve"> se </w:t>
      </w:r>
      <w:r w:rsidR="005D6EFF" w:rsidRPr="0080490E">
        <w:rPr>
          <w:rFonts w:asciiTheme="minorHAnsi" w:hAnsiTheme="minorHAnsi" w:cstheme="minorHAnsi"/>
          <w:szCs w:val="24"/>
        </w:rPr>
        <w:t>resolverá</w:t>
      </w:r>
      <w:r w:rsidR="007973D9" w:rsidRPr="0080490E">
        <w:rPr>
          <w:rFonts w:asciiTheme="minorHAnsi" w:hAnsiTheme="minorHAnsi" w:cstheme="minorHAnsi"/>
          <w:szCs w:val="24"/>
        </w:rPr>
        <w:t>n</w:t>
      </w:r>
      <w:r w:rsidR="005D6EFF" w:rsidRPr="0080490E">
        <w:rPr>
          <w:rFonts w:asciiTheme="minorHAnsi" w:hAnsiTheme="minorHAnsi" w:cstheme="minorHAnsi"/>
          <w:szCs w:val="24"/>
        </w:rPr>
        <w:t xml:space="preserve"> </w:t>
      </w:r>
      <w:r w:rsidR="007973D9" w:rsidRPr="0080490E">
        <w:rPr>
          <w:rFonts w:asciiTheme="minorHAnsi" w:hAnsiTheme="minorHAnsi" w:cstheme="minorHAnsi"/>
          <w:szCs w:val="24"/>
        </w:rPr>
        <w:t>los contratos</w:t>
      </w:r>
      <w:r w:rsidR="005D6EFF" w:rsidRPr="0080490E">
        <w:rPr>
          <w:rFonts w:asciiTheme="minorHAnsi" w:hAnsiTheme="minorHAnsi" w:cstheme="minorHAnsi"/>
          <w:szCs w:val="24"/>
        </w:rPr>
        <w:t xml:space="preserve"> de adquisición del inmueble y</w:t>
      </w:r>
      <w:r w:rsidR="007973D9" w:rsidRPr="0080490E">
        <w:rPr>
          <w:rFonts w:asciiTheme="minorHAnsi" w:hAnsiTheme="minorHAnsi" w:cstheme="minorHAnsi"/>
          <w:szCs w:val="24"/>
        </w:rPr>
        <w:t xml:space="preserve"> de financiación y</w:t>
      </w:r>
      <w:r w:rsidR="005D6EFF" w:rsidRPr="0080490E">
        <w:rPr>
          <w:rFonts w:asciiTheme="minorHAnsi" w:hAnsiTheme="minorHAnsi" w:cstheme="minorHAnsi"/>
          <w:szCs w:val="24"/>
        </w:rPr>
        <w:t xml:space="preserve"> se </w:t>
      </w:r>
      <w:r w:rsidR="00867FE2" w:rsidRPr="0080490E">
        <w:rPr>
          <w:rFonts w:asciiTheme="minorHAnsi" w:hAnsiTheme="minorHAnsi" w:cstheme="minorHAnsi"/>
          <w:szCs w:val="24"/>
        </w:rPr>
        <w:t>reembolsará</w:t>
      </w:r>
      <w:r w:rsidR="0042683E" w:rsidRPr="0080490E">
        <w:rPr>
          <w:rFonts w:asciiTheme="minorHAnsi" w:hAnsiTheme="minorHAnsi" w:cstheme="minorHAnsi"/>
          <w:szCs w:val="24"/>
        </w:rPr>
        <w:t xml:space="preserve"> al inversor el capital aportado. </w:t>
      </w:r>
      <w:r w:rsidR="006B4E87" w:rsidRPr="0080490E">
        <w:rPr>
          <w:rFonts w:asciiTheme="minorHAnsi" w:hAnsiTheme="minorHAnsi" w:cstheme="minorHAnsi"/>
          <w:szCs w:val="24"/>
        </w:rPr>
        <w:t>L</w:t>
      </w:r>
      <w:r w:rsidR="003727B2" w:rsidRPr="0080490E">
        <w:rPr>
          <w:rFonts w:asciiTheme="minorHAnsi" w:hAnsiTheme="minorHAnsi" w:cstheme="minorHAnsi"/>
          <w:szCs w:val="24"/>
        </w:rPr>
        <w:t>a</w:t>
      </w:r>
      <w:r w:rsidR="0042683E" w:rsidRPr="0080490E">
        <w:rPr>
          <w:rFonts w:asciiTheme="minorHAnsi" w:hAnsiTheme="minorHAnsi" w:cstheme="minorHAnsi"/>
          <w:szCs w:val="24"/>
        </w:rPr>
        <w:t xml:space="preserve"> programación </w:t>
      </w:r>
      <w:r w:rsidR="006523E6" w:rsidRPr="0080490E">
        <w:rPr>
          <w:rFonts w:asciiTheme="minorHAnsi" w:hAnsiTheme="minorHAnsi" w:cstheme="minorHAnsi"/>
          <w:szCs w:val="24"/>
        </w:rPr>
        <w:t>booleana</w:t>
      </w:r>
      <w:r w:rsidR="0042683E" w:rsidRPr="0080490E">
        <w:rPr>
          <w:rFonts w:asciiTheme="minorHAnsi" w:hAnsiTheme="minorHAnsi" w:cstheme="minorHAnsi"/>
          <w:szCs w:val="24"/>
        </w:rPr>
        <w:t xml:space="preserve"> de los </w:t>
      </w:r>
      <w:proofErr w:type="spellStart"/>
      <w:r w:rsidR="0042683E" w:rsidRPr="0080490E">
        <w:rPr>
          <w:rFonts w:asciiTheme="minorHAnsi" w:hAnsiTheme="minorHAnsi" w:cstheme="minorHAnsi"/>
          <w:i/>
          <w:iCs/>
          <w:szCs w:val="24"/>
        </w:rPr>
        <w:t>smart</w:t>
      </w:r>
      <w:proofErr w:type="spellEnd"/>
      <w:r w:rsidR="0042683E" w:rsidRPr="0080490E">
        <w:rPr>
          <w:rFonts w:asciiTheme="minorHAnsi" w:hAnsiTheme="minorHAnsi" w:cstheme="minorHAnsi"/>
          <w:i/>
          <w:iCs/>
          <w:szCs w:val="24"/>
        </w:rPr>
        <w:t xml:space="preserve"> </w:t>
      </w:r>
      <w:proofErr w:type="spellStart"/>
      <w:r w:rsidR="0042683E" w:rsidRPr="0080490E">
        <w:rPr>
          <w:rFonts w:asciiTheme="minorHAnsi" w:hAnsiTheme="minorHAnsi" w:cstheme="minorHAnsi"/>
          <w:i/>
          <w:iCs/>
          <w:szCs w:val="24"/>
        </w:rPr>
        <w:t>contracts</w:t>
      </w:r>
      <w:proofErr w:type="spellEnd"/>
      <w:r w:rsidR="0042683E" w:rsidRPr="0080490E">
        <w:rPr>
          <w:rFonts w:asciiTheme="minorHAnsi" w:hAnsiTheme="minorHAnsi" w:cstheme="minorHAnsi"/>
          <w:szCs w:val="24"/>
        </w:rPr>
        <w:t xml:space="preserve"> </w:t>
      </w:r>
      <w:r w:rsidR="0042683E" w:rsidRPr="0080490E">
        <w:rPr>
          <w:rFonts w:asciiTheme="minorHAnsi" w:hAnsiTheme="minorHAnsi" w:cstheme="minorHAnsi"/>
          <w:szCs w:val="24"/>
        </w:rPr>
        <w:lastRenderedPageBreak/>
        <w:t xml:space="preserve">permite, en caso de fracaso, </w:t>
      </w:r>
      <w:r w:rsidR="006B4E87" w:rsidRPr="0080490E">
        <w:rPr>
          <w:rFonts w:asciiTheme="minorHAnsi" w:hAnsiTheme="minorHAnsi" w:cstheme="minorHAnsi"/>
          <w:szCs w:val="24"/>
        </w:rPr>
        <w:t>la</w:t>
      </w:r>
      <w:r w:rsidR="0042683E" w:rsidRPr="0080490E">
        <w:rPr>
          <w:rFonts w:asciiTheme="minorHAnsi" w:hAnsiTheme="minorHAnsi" w:cstheme="minorHAnsi"/>
          <w:szCs w:val="24"/>
        </w:rPr>
        <w:t xml:space="preserve"> devolución automatizada de las criptomonedas empleadas para la adquisición de los tokens </w:t>
      </w:r>
      <w:r w:rsidR="009A7521" w:rsidRPr="0080490E">
        <w:rPr>
          <w:rFonts w:asciiTheme="minorHAnsi" w:hAnsiTheme="minorHAnsi" w:cstheme="minorHAnsi"/>
          <w:szCs w:val="24"/>
        </w:rPr>
        <w:t xml:space="preserve">que deberán </w:t>
      </w:r>
      <w:r w:rsidR="00160643" w:rsidRPr="0080490E">
        <w:rPr>
          <w:rFonts w:asciiTheme="minorHAnsi" w:hAnsiTheme="minorHAnsi" w:cstheme="minorHAnsi"/>
          <w:szCs w:val="24"/>
        </w:rPr>
        <w:t xml:space="preserve">luego </w:t>
      </w:r>
      <w:r w:rsidR="00941E86" w:rsidRPr="0080490E">
        <w:rPr>
          <w:rFonts w:asciiTheme="minorHAnsi" w:hAnsiTheme="minorHAnsi" w:cstheme="minorHAnsi"/>
          <w:szCs w:val="24"/>
        </w:rPr>
        <w:t>cancela</w:t>
      </w:r>
      <w:r w:rsidR="009A7521" w:rsidRPr="0080490E">
        <w:rPr>
          <w:rFonts w:asciiTheme="minorHAnsi" w:hAnsiTheme="minorHAnsi" w:cstheme="minorHAnsi"/>
          <w:szCs w:val="24"/>
        </w:rPr>
        <w:t>rse</w:t>
      </w:r>
      <w:r w:rsidR="0042683E" w:rsidRPr="0080490E">
        <w:rPr>
          <w:rFonts w:asciiTheme="minorHAnsi" w:hAnsiTheme="minorHAnsi" w:cstheme="minorHAnsi"/>
          <w:szCs w:val="24"/>
        </w:rPr>
        <w:t>.</w:t>
      </w:r>
    </w:p>
    <w:p w14:paraId="53DB8E67" w14:textId="0E735AEB" w:rsidR="00E75163" w:rsidRPr="0080490E" w:rsidRDefault="0091740E"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En</w:t>
      </w:r>
      <w:r w:rsidR="00171B93" w:rsidRPr="0080490E">
        <w:rPr>
          <w:rFonts w:asciiTheme="minorHAnsi" w:hAnsiTheme="minorHAnsi" w:cstheme="minorHAnsi"/>
          <w:szCs w:val="24"/>
        </w:rPr>
        <w:t xml:space="preserve"> </w:t>
      </w:r>
      <w:r w:rsidR="00A72945" w:rsidRPr="0080490E">
        <w:rPr>
          <w:rFonts w:asciiTheme="minorHAnsi" w:hAnsiTheme="minorHAnsi" w:cstheme="minorHAnsi"/>
          <w:szCs w:val="24"/>
        </w:rPr>
        <w:t>una</w:t>
      </w:r>
      <w:r w:rsidR="00171B93" w:rsidRPr="0080490E">
        <w:rPr>
          <w:rFonts w:asciiTheme="minorHAnsi" w:hAnsiTheme="minorHAnsi" w:cstheme="minorHAnsi"/>
          <w:szCs w:val="24"/>
        </w:rPr>
        <w:t xml:space="preserve"> </w:t>
      </w:r>
      <w:r w:rsidR="004F6398" w:rsidRPr="0080490E">
        <w:rPr>
          <w:rFonts w:asciiTheme="minorHAnsi" w:hAnsiTheme="minorHAnsi" w:cstheme="minorHAnsi"/>
          <w:szCs w:val="24"/>
        </w:rPr>
        <w:t>cuarta</w:t>
      </w:r>
      <w:r w:rsidR="00171B93" w:rsidRPr="0080490E">
        <w:rPr>
          <w:rFonts w:asciiTheme="minorHAnsi" w:hAnsiTheme="minorHAnsi" w:cstheme="minorHAnsi"/>
          <w:szCs w:val="24"/>
        </w:rPr>
        <w:t xml:space="preserve"> etapa</w:t>
      </w:r>
      <w:r w:rsidR="00A72945" w:rsidRPr="0080490E">
        <w:rPr>
          <w:rFonts w:asciiTheme="minorHAnsi" w:hAnsiTheme="minorHAnsi" w:cstheme="minorHAnsi"/>
          <w:szCs w:val="24"/>
        </w:rPr>
        <w:t>,</w:t>
      </w:r>
      <w:r w:rsidR="00171B93" w:rsidRPr="0080490E">
        <w:rPr>
          <w:rFonts w:asciiTheme="minorHAnsi" w:hAnsiTheme="minorHAnsi" w:cstheme="minorHAnsi"/>
          <w:szCs w:val="24"/>
        </w:rPr>
        <w:t xml:space="preserve"> l</w:t>
      </w:r>
      <w:r w:rsidR="00750631" w:rsidRPr="0080490E">
        <w:rPr>
          <w:rFonts w:asciiTheme="minorHAnsi" w:hAnsiTheme="minorHAnsi" w:cstheme="minorHAnsi"/>
          <w:szCs w:val="24"/>
        </w:rPr>
        <w:t xml:space="preserve">a </w:t>
      </w:r>
      <w:r w:rsidR="00191512" w:rsidRPr="0080490E">
        <w:rPr>
          <w:rFonts w:asciiTheme="minorHAnsi" w:hAnsiTheme="minorHAnsi" w:cstheme="minorHAnsi"/>
          <w:szCs w:val="24"/>
        </w:rPr>
        <w:t xml:space="preserve">entidad </w:t>
      </w:r>
      <w:r w:rsidR="00750631" w:rsidRPr="0080490E">
        <w:rPr>
          <w:rFonts w:asciiTheme="minorHAnsi" w:hAnsiTheme="minorHAnsi" w:cstheme="minorHAnsi"/>
          <w:szCs w:val="24"/>
        </w:rPr>
        <w:t>propietaria del inmueble y emisora de los tokens se encarga</w:t>
      </w:r>
      <w:r w:rsidR="00171B93" w:rsidRPr="0080490E">
        <w:rPr>
          <w:rFonts w:asciiTheme="minorHAnsi" w:hAnsiTheme="minorHAnsi" w:cstheme="minorHAnsi"/>
          <w:szCs w:val="24"/>
        </w:rPr>
        <w:t>rá</w:t>
      </w:r>
      <w:r w:rsidR="00750631" w:rsidRPr="0080490E">
        <w:rPr>
          <w:rFonts w:asciiTheme="minorHAnsi" w:hAnsiTheme="minorHAnsi" w:cstheme="minorHAnsi"/>
          <w:szCs w:val="24"/>
        </w:rPr>
        <w:t xml:space="preserve"> de </w:t>
      </w:r>
      <w:r w:rsidR="00067ADB" w:rsidRPr="0080490E">
        <w:rPr>
          <w:rFonts w:asciiTheme="minorHAnsi" w:hAnsiTheme="minorHAnsi" w:cstheme="minorHAnsi"/>
          <w:szCs w:val="24"/>
        </w:rPr>
        <w:t>su</w:t>
      </w:r>
      <w:r w:rsidR="00750631" w:rsidRPr="0080490E">
        <w:rPr>
          <w:rFonts w:asciiTheme="minorHAnsi" w:hAnsiTheme="minorHAnsi" w:cstheme="minorHAnsi"/>
          <w:szCs w:val="24"/>
        </w:rPr>
        <w:t xml:space="preserve"> </w:t>
      </w:r>
      <w:r w:rsidR="000F4D2A" w:rsidRPr="0080490E">
        <w:rPr>
          <w:rFonts w:asciiTheme="minorHAnsi" w:hAnsiTheme="minorHAnsi" w:cstheme="minorHAnsi"/>
          <w:szCs w:val="24"/>
        </w:rPr>
        <w:t>explotación</w:t>
      </w:r>
      <w:r w:rsidR="00750631" w:rsidRPr="0080490E">
        <w:rPr>
          <w:rFonts w:asciiTheme="minorHAnsi" w:hAnsiTheme="minorHAnsi" w:cstheme="minorHAnsi"/>
          <w:szCs w:val="24"/>
        </w:rPr>
        <w:t xml:space="preserve"> económica</w:t>
      </w:r>
      <w:r w:rsidR="004F6398" w:rsidRPr="0080490E">
        <w:rPr>
          <w:rFonts w:asciiTheme="minorHAnsi" w:hAnsiTheme="minorHAnsi" w:cstheme="minorHAnsi"/>
          <w:szCs w:val="24"/>
        </w:rPr>
        <w:t>.</w:t>
      </w:r>
      <w:r w:rsidR="00750631" w:rsidRPr="0080490E">
        <w:rPr>
          <w:rFonts w:asciiTheme="minorHAnsi" w:hAnsiTheme="minorHAnsi" w:cstheme="minorHAnsi"/>
          <w:szCs w:val="24"/>
        </w:rPr>
        <w:t xml:space="preserve"> </w:t>
      </w:r>
      <w:r w:rsidR="004F6398" w:rsidRPr="0080490E">
        <w:rPr>
          <w:rFonts w:asciiTheme="minorHAnsi" w:hAnsiTheme="minorHAnsi" w:cstheme="minorHAnsi"/>
          <w:szCs w:val="24"/>
        </w:rPr>
        <w:t>P</w:t>
      </w:r>
      <w:r w:rsidR="00750631" w:rsidRPr="0080490E">
        <w:rPr>
          <w:rFonts w:asciiTheme="minorHAnsi" w:hAnsiTheme="minorHAnsi" w:cstheme="minorHAnsi"/>
          <w:szCs w:val="24"/>
        </w:rPr>
        <w:t xml:space="preserve">ara </w:t>
      </w:r>
      <w:r w:rsidR="004F6398" w:rsidRPr="0080490E">
        <w:rPr>
          <w:rFonts w:asciiTheme="minorHAnsi" w:hAnsiTheme="minorHAnsi" w:cstheme="minorHAnsi"/>
          <w:szCs w:val="24"/>
        </w:rPr>
        <w:t>el</w:t>
      </w:r>
      <w:r w:rsidR="00750631" w:rsidRPr="0080490E">
        <w:rPr>
          <w:rFonts w:asciiTheme="minorHAnsi" w:hAnsiTheme="minorHAnsi" w:cstheme="minorHAnsi"/>
          <w:szCs w:val="24"/>
        </w:rPr>
        <w:t>lo celebrará los pertinentes contratos de alquiler o venta</w:t>
      </w:r>
      <w:r w:rsidR="004F6398" w:rsidRPr="0080490E">
        <w:rPr>
          <w:rFonts w:asciiTheme="minorHAnsi" w:hAnsiTheme="minorHAnsi" w:cstheme="minorHAnsi"/>
          <w:szCs w:val="24"/>
        </w:rPr>
        <w:t xml:space="preserve"> del inmueble con terceros que </w:t>
      </w:r>
      <w:r w:rsidR="00067ADB" w:rsidRPr="0080490E">
        <w:rPr>
          <w:rFonts w:asciiTheme="minorHAnsi" w:hAnsiTheme="minorHAnsi" w:cstheme="minorHAnsi"/>
          <w:szCs w:val="24"/>
        </w:rPr>
        <w:t xml:space="preserve">generarán al propietario una serie de ingresos que, inicialmente, se incorporarán a su patrimonio. </w:t>
      </w:r>
      <w:r w:rsidR="00E75163" w:rsidRPr="0080490E">
        <w:rPr>
          <w:rFonts w:asciiTheme="minorHAnsi" w:hAnsiTheme="minorHAnsi" w:cstheme="minorHAnsi"/>
          <w:szCs w:val="24"/>
        </w:rPr>
        <w:t xml:space="preserve">Los </w:t>
      </w:r>
      <w:r w:rsidR="00067ADB" w:rsidRPr="0080490E">
        <w:rPr>
          <w:rFonts w:asciiTheme="minorHAnsi" w:hAnsiTheme="minorHAnsi" w:cstheme="minorHAnsi"/>
          <w:szCs w:val="24"/>
        </w:rPr>
        <w:t>rendimientos económicos</w:t>
      </w:r>
      <w:r w:rsidR="00E75163" w:rsidRPr="0080490E">
        <w:rPr>
          <w:rFonts w:asciiTheme="minorHAnsi" w:hAnsiTheme="minorHAnsi" w:cstheme="minorHAnsi"/>
          <w:szCs w:val="24"/>
        </w:rPr>
        <w:t xml:space="preserve"> </w:t>
      </w:r>
      <w:r w:rsidR="007F4E9A" w:rsidRPr="0080490E">
        <w:rPr>
          <w:rFonts w:asciiTheme="minorHAnsi" w:hAnsiTheme="minorHAnsi" w:cstheme="minorHAnsi"/>
          <w:szCs w:val="24"/>
        </w:rPr>
        <w:t xml:space="preserve">recurrentes </w:t>
      </w:r>
      <w:r w:rsidR="00E75163" w:rsidRPr="0080490E">
        <w:rPr>
          <w:rFonts w:asciiTheme="minorHAnsi" w:hAnsiTheme="minorHAnsi" w:cstheme="minorHAnsi"/>
          <w:szCs w:val="24"/>
        </w:rPr>
        <w:t>que deriv</w:t>
      </w:r>
      <w:r w:rsidR="00067ADB" w:rsidRPr="0080490E">
        <w:rPr>
          <w:rFonts w:asciiTheme="minorHAnsi" w:hAnsiTheme="minorHAnsi" w:cstheme="minorHAnsi"/>
          <w:szCs w:val="24"/>
        </w:rPr>
        <w:t>e</w:t>
      </w:r>
      <w:r w:rsidR="00E75163" w:rsidRPr="0080490E">
        <w:rPr>
          <w:rFonts w:asciiTheme="minorHAnsi" w:hAnsiTheme="minorHAnsi" w:cstheme="minorHAnsi"/>
          <w:szCs w:val="24"/>
        </w:rPr>
        <w:t xml:space="preserve">n del alquiler </w:t>
      </w:r>
      <w:r w:rsidR="00067ADB" w:rsidRPr="0080490E">
        <w:rPr>
          <w:rFonts w:asciiTheme="minorHAnsi" w:hAnsiTheme="minorHAnsi" w:cstheme="minorHAnsi"/>
          <w:szCs w:val="24"/>
        </w:rPr>
        <w:t xml:space="preserve">se </w:t>
      </w:r>
      <w:r w:rsidR="00A72945" w:rsidRPr="0080490E">
        <w:rPr>
          <w:rFonts w:asciiTheme="minorHAnsi" w:hAnsiTheme="minorHAnsi" w:cstheme="minorHAnsi"/>
          <w:szCs w:val="24"/>
        </w:rPr>
        <w:t xml:space="preserve">deberán </w:t>
      </w:r>
      <w:r w:rsidR="00067ADB" w:rsidRPr="0080490E">
        <w:rPr>
          <w:rFonts w:asciiTheme="minorHAnsi" w:hAnsiTheme="minorHAnsi" w:cstheme="minorHAnsi"/>
          <w:szCs w:val="24"/>
        </w:rPr>
        <w:t xml:space="preserve">distribuir entre los inversores. </w:t>
      </w:r>
      <w:r w:rsidR="00750631" w:rsidRPr="0080490E">
        <w:rPr>
          <w:rFonts w:asciiTheme="minorHAnsi" w:hAnsiTheme="minorHAnsi" w:cstheme="minorHAnsi"/>
          <w:szCs w:val="24"/>
        </w:rPr>
        <w:t xml:space="preserve">A </w:t>
      </w:r>
      <w:r w:rsidR="00E75163" w:rsidRPr="0080490E">
        <w:rPr>
          <w:rFonts w:asciiTheme="minorHAnsi" w:hAnsiTheme="minorHAnsi" w:cstheme="minorHAnsi"/>
          <w:szCs w:val="24"/>
        </w:rPr>
        <w:t xml:space="preserve">tal </w:t>
      </w:r>
      <w:r w:rsidR="00750631" w:rsidRPr="0080490E">
        <w:rPr>
          <w:rFonts w:asciiTheme="minorHAnsi" w:hAnsiTheme="minorHAnsi" w:cstheme="minorHAnsi"/>
          <w:szCs w:val="24"/>
        </w:rPr>
        <w:t xml:space="preserve">fin, el promotor deberá convertir el </w:t>
      </w:r>
      <w:r w:rsidR="00C12A02" w:rsidRPr="0080490E">
        <w:rPr>
          <w:rFonts w:asciiTheme="minorHAnsi" w:hAnsiTheme="minorHAnsi" w:cstheme="minorHAnsi"/>
          <w:szCs w:val="24"/>
        </w:rPr>
        <w:t>importe</w:t>
      </w:r>
      <w:r w:rsidR="00750631" w:rsidRPr="0080490E">
        <w:rPr>
          <w:rFonts w:asciiTheme="minorHAnsi" w:hAnsiTheme="minorHAnsi" w:cstheme="minorHAnsi"/>
          <w:szCs w:val="24"/>
        </w:rPr>
        <w:t xml:space="preserve"> </w:t>
      </w:r>
      <w:r w:rsidR="00C12A02" w:rsidRPr="0080490E">
        <w:rPr>
          <w:rFonts w:asciiTheme="minorHAnsi" w:hAnsiTheme="minorHAnsi" w:cstheme="minorHAnsi"/>
          <w:szCs w:val="24"/>
        </w:rPr>
        <w:t>percibido</w:t>
      </w:r>
      <w:r w:rsidR="008625E0" w:rsidRPr="0080490E">
        <w:rPr>
          <w:rFonts w:asciiTheme="minorHAnsi" w:hAnsiTheme="minorHAnsi" w:cstheme="minorHAnsi"/>
          <w:szCs w:val="24"/>
        </w:rPr>
        <w:t xml:space="preserve"> en moneda </w:t>
      </w:r>
      <w:r w:rsidR="00C12A02" w:rsidRPr="0080490E">
        <w:rPr>
          <w:rFonts w:asciiTheme="minorHAnsi" w:hAnsiTheme="minorHAnsi" w:cstheme="minorHAnsi"/>
          <w:szCs w:val="24"/>
        </w:rPr>
        <w:t xml:space="preserve">de </w:t>
      </w:r>
      <w:r w:rsidR="0034162C" w:rsidRPr="0080490E">
        <w:rPr>
          <w:rFonts w:asciiTheme="minorHAnsi" w:hAnsiTheme="minorHAnsi" w:cstheme="minorHAnsi"/>
          <w:szCs w:val="24"/>
        </w:rPr>
        <w:t xml:space="preserve">curso legal (dinero </w:t>
      </w:r>
      <w:proofErr w:type="spellStart"/>
      <w:r w:rsidR="00750631" w:rsidRPr="0080490E">
        <w:rPr>
          <w:rFonts w:asciiTheme="minorHAnsi" w:hAnsiTheme="minorHAnsi" w:cstheme="minorHAnsi"/>
          <w:i/>
          <w:iCs/>
          <w:szCs w:val="24"/>
        </w:rPr>
        <w:t>fiat</w:t>
      </w:r>
      <w:proofErr w:type="spellEnd"/>
      <w:r w:rsidR="0034162C" w:rsidRPr="0080490E">
        <w:rPr>
          <w:rFonts w:asciiTheme="minorHAnsi" w:hAnsiTheme="minorHAnsi" w:cstheme="minorHAnsi"/>
          <w:iCs/>
          <w:szCs w:val="24"/>
        </w:rPr>
        <w:t>)</w:t>
      </w:r>
      <w:r w:rsidR="00750631" w:rsidRPr="0080490E">
        <w:rPr>
          <w:rFonts w:asciiTheme="minorHAnsi" w:hAnsiTheme="minorHAnsi" w:cstheme="minorHAnsi"/>
          <w:szCs w:val="24"/>
        </w:rPr>
        <w:t xml:space="preserve"> </w:t>
      </w:r>
      <w:r w:rsidR="001A5AB9" w:rsidRPr="0080490E">
        <w:rPr>
          <w:rFonts w:asciiTheme="minorHAnsi" w:hAnsiTheme="minorHAnsi" w:cstheme="minorHAnsi"/>
          <w:szCs w:val="24"/>
        </w:rPr>
        <w:t>en criptomonedas que se remitirán</w:t>
      </w:r>
      <w:r w:rsidR="00C64E7E" w:rsidRPr="0080490E">
        <w:rPr>
          <w:rFonts w:asciiTheme="minorHAnsi" w:hAnsiTheme="minorHAnsi" w:cstheme="minorHAnsi"/>
          <w:szCs w:val="24"/>
        </w:rPr>
        <w:t>, a continuación,</w:t>
      </w:r>
      <w:r w:rsidR="001A5AB9" w:rsidRPr="0080490E">
        <w:rPr>
          <w:rFonts w:asciiTheme="minorHAnsi" w:hAnsiTheme="minorHAnsi" w:cstheme="minorHAnsi"/>
          <w:szCs w:val="24"/>
        </w:rPr>
        <w:t xml:space="preserve"> al </w:t>
      </w:r>
      <w:proofErr w:type="spellStart"/>
      <w:r w:rsidR="001A5AB9" w:rsidRPr="0080490E">
        <w:rPr>
          <w:rFonts w:asciiTheme="minorHAnsi" w:hAnsiTheme="minorHAnsi" w:cstheme="minorHAnsi"/>
          <w:i/>
          <w:iCs/>
          <w:szCs w:val="24"/>
        </w:rPr>
        <w:t>smart</w:t>
      </w:r>
      <w:proofErr w:type="spellEnd"/>
      <w:r w:rsidR="001A5AB9" w:rsidRPr="0080490E">
        <w:rPr>
          <w:rFonts w:asciiTheme="minorHAnsi" w:hAnsiTheme="minorHAnsi" w:cstheme="minorHAnsi"/>
          <w:i/>
          <w:iCs/>
          <w:szCs w:val="24"/>
        </w:rPr>
        <w:t xml:space="preserve"> </w:t>
      </w:r>
      <w:proofErr w:type="spellStart"/>
      <w:r w:rsidR="001A5AB9" w:rsidRPr="0080490E">
        <w:rPr>
          <w:rFonts w:asciiTheme="minorHAnsi" w:hAnsiTheme="minorHAnsi" w:cstheme="minorHAnsi"/>
          <w:i/>
          <w:iCs/>
          <w:szCs w:val="24"/>
        </w:rPr>
        <w:t>contract</w:t>
      </w:r>
      <w:proofErr w:type="spellEnd"/>
      <w:r w:rsidR="00E75163" w:rsidRPr="0080490E">
        <w:rPr>
          <w:rFonts w:asciiTheme="minorHAnsi" w:hAnsiTheme="minorHAnsi" w:cstheme="minorHAnsi"/>
          <w:szCs w:val="24"/>
        </w:rPr>
        <w:t xml:space="preserve">. Gracias a </w:t>
      </w:r>
      <w:r w:rsidR="00D13BB7" w:rsidRPr="0080490E">
        <w:rPr>
          <w:rFonts w:asciiTheme="minorHAnsi" w:hAnsiTheme="minorHAnsi" w:cstheme="minorHAnsi"/>
          <w:szCs w:val="24"/>
        </w:rPr>
        <w:t>su</w:t>
      </w:r>
      <w:r w:rsidR="00E75163" w:rsidRPr="0080490E">
        <w:rPr>
          <w:rFonts w:asciiTheme="minorHAnsi" w:hAnsiTheme="minorHAnsi" w:cstheme="minorHAnsi"/>
          <w:szCs w:val="24"/>
        </w:rPr>
        <w:t xml:space="preserve"> ejecución automatizada, la programación del </w:t>
      </w:r>
      <w:proofErr w:type="spellStart"/>
      <w:r w:rsidR="00E75163" w:rsidRPr="0080490E">
        <w:rPr>
          <w:rFonts w:asciiTheme="minorHAnsi" w:hAnsiTheme="minorHAnsi" w:cstheme="minorHAnsi"/>
          <w:i/>
          <w:iCs/>
          <w:szCs w:val="24"/>
        </w:rPr>
        <w:t>smart</w:t>
      </w:r>
      <w:proofErr w:type="spellEnd"/>
      <w:r w:rsidR="00E75163" w:rsidRPr="0080490E">
        <w:rPr>
          <w:rFonts w:asciiTheme="minorHAnsi" w:hAnsiTheme="minorHAnsi" w:cstheme="minorHAnsi"/>
          <w:i/>
          <w:iCs/>
          <w:szCs w:val="24"/>
        </w:rPr>
        <w:t xml:space="preserve"> </w:t>
      </w:r>
      <w:proofErr w:type="spellStart"/>
      <w:r w:rsidR="00E75163" w:rsidRPr="0080490E">
        <w:rPr>
          <w:rFonts w:asciiTheme="minorHAnsi" w:hAnsiTheme="minorHAnsi" w:cstheme="minorHAnsi"/>
          <w:i/>
          <w:iCs/>
          <w:szCs w:val="24"/>
        </w:rPr>
        <w:t>contract</w:t>
      </w:r>
      <w:proofErr w:type="spellEnd"/>
      <w:r w:rsidR="00E75163" w:rsidRPr="0080490E">
        <w:rPr>
          <w:rFonts w:asciiTheme="minorHAnsi" w:hAnsiTheme="minorHAnsi" w:cstheme="minorHAnsi"/>
          <w:szCs w:val="24"/>
        </w:rPr>
        <w:t xml:space="preserve"> será capaz de distribuir </w:t>
      </w:r>
      <w:r w:rsidR="00807BED" w:rsidRPr="0080490E">
        <w:rPr>
          <w:rFonts w:asciiTheme="minorHAnsi" w:hAnsiTheme="minorHAnsi" w:cstheme="minorHAnsi"/>
          <w:szCs w:val="24"/>
        </w:rPr>
        <w:t xml:space="preserve">proporcionalmente </w:t>
      </w:r>
      <w:r w:rsidR="00E75163" w:rsidRPr="0080490E">
        <w:rPr>
          <w:rFonts w:asciiTheme="minorHAnsi" w:hAnsiTheme="minorHAnsi" w:cstheme="minorHAnsi"/>
          <w:szCs w:val="24"/>
        </w:rPr>
        <w:t>las criptomonedas entre los inversores en función de su participación en el proyecto.</w:t>
      </w:r>
      <w:r w:rsidR="000A31E7" w:rsidRPr="0080490E">
        <w:rPr>
          <w:rFonts w:asciiTheme="minorHAnsi" w:hAnsiTheme="minorHAnsi" w:cstheme="minorHAnsi"/>
          <w:szCs w:val="24"/>
        </w:rPr>
        <w:t xml:space="preserve"> </w:t>
      </w:r>
      <w:r w:rsidR="00E75163" w:rsidRPr="0080490E">
        <w:rPr>
          <w:rFonts w:asciiTheme="minorHAnsi" w:hAnsiTheme="minorHAnsi" w:cstheme="minorHAnsi"/>
          <w:szCs w:val="24"/>
        </w:rPr>
        <w:t xml:space="preserve">El inversor recibirá en su billetera las criptomonedas y podrá, a través de un </w:t>
      </w:r>
      <w:proofErr w:type="spellStart"/>
      <w:r w:rsidR="00E75163" w:rsidRPr="0080490E">
        <w:rPr>
          <w:rFonts w:asciiTheme="minorHAnsi" w:hAnsiTheme="minorHAnsi" w:cstheme="minorHAnsi"/>
          <w:i/>
          <w:iCs/>
          <w:szCs w:val="24"/>
        </w:rPr>
        <w:t>exchange</w:t>
      </w:r>
      <w:proofErr w:type="spellEnd"/>
      <w:r w:rsidR="00E75163" w:rsidRPr="0080490E">
        <w:rPr>
          <w:rFonts w:asciiTheme="minorHAnsi" w:hAnsiTheme="minorHAnsi" w:cstheme="minorHAnsi"/>
          <w:szCs w:val="24"/>
        </w:rPr>
        <w:t xml:space="preserve">, cambiarlas por dinero </w:t>
      </w:r>
      <w:proofErr w:type="spellStart"/>
      <w:r w:rsidR="00EA48A8" w:rsidRPr="0080490E">
        <w:rPr>
          <w:rFonts w:asciiTheme="minorHAnsi" w:hAnsiTheme="minorHAnsi" w:cstheme="minorHAnsi"/>
          <w:i/>
          <w:iCs/>
          <w:szCs w:val="24"/>
        </w:rPr>
        <w:t>fiat</w:t>
      </w:r>
      <w:proofErr w:type="spellEnd"/>
      <w:r w:rsidR="00E75163" w:rsidRPr="0080490E">
        <w:rPr>
          <w:rFonts w:asciiTheme="minorHAnsi" w:hAnsiTheme="minorHAnsi" w:cstheme="minorHAnsi"/>
          <w:szCs w:val="24"/>
        </w:rPr>
        <w:t>.</w:t>
      </w:r>
      <w:r w:rsidR="000C75CD" w:rsidRPr="0080490E">
        <w:rPr>
          <w:rFonts w:asciiTheme="minorHAnsi" w:hAnsiTheme="minorHAnsi" w:cstheme="minorHAnsi"/>
          <w:szCs w:val="24"/>
        </w:rPr>
        <w:t xml:space="preserve"> </w:t>
      </w:r>
      <w:r w:rsidR="00077210" w:rsidRPr="0080490E">
        <w:rPr>
          <w:rFonts w:asciiTheme="minorHAnsi" w:hAnsiTheme="minorHAnsi" w:cstheme="minorHAnsi"/>
          <w:szCs w:val="24"/>
        </w:rPr>
        <w:t>Aunque e</w:t>
      </w:r>
      <w:r w:rsidR="000C75CD" w:rsidRPr="0080490E">
        <w:rPr>
          <w:rFonts w:asciiTheme="minorHAnsi" w:hAnsiTheme="minorHAnsi" w:cstheme="minorHAnsi"/>
          <w:szCs w:val="24"/>
        </w:rPr>
        <w:t xml:space="preserve">l uso de </w:t>
      </w:r>
      <w:proofErr w:type="spellStart"/>
      <w:r w:rsidR="000C75CD" w:rsidRPr="0080490E">
        <w:rPr>
          <w:rFonts w:asciiTheme="minorHAnsi" w:hAnsiTheme="minorHAnsi" w:cstheme="minorHAnsi"/>
          <w:i/>
          <w:szCs w:val="24"/>
        </w:rPr>
        <w:t>stablecoins</w:t>
      </w:r>
      <w:proofErr w:type="spellEnd"/>
      <w:r w:rsidR="000C75CD" w:rsidRPr="0080490E">
        <w:rPr>
          <w:rFonts w:asciiTheme="minorHAnsi" w:hAnsiTheme="minorHAnsi" w:cstheme="minorHAnsi"/>
          <w:szCs w:val="24"/>
        </w:rPr>
        <w:t xml:space="preserve">, como puede ser el USDT, mitiga el </w:t>
      </w:r>
      <w:r w:rsidR="00465975" w:rsidRPr="0080490E">
        <w:rPr>
          <w:rFonts w:asciiTheme="minorHAnsi" w:hAnsiTheme="minorHAnsi" w:cstheme="minorHAnsi"/>
          <w:szCs w:val="24"/>
        </w:rPr>
        <w:t>peligro</w:t>
      </w:r>
      <w:r w:rsidR="000C75CD" w:rsidRPr="0080490E">
        <w:rPr>
          <w:rFonts w:asciiTheme="minorHAnsi" w:hAnsiTheme="minorHAnsi" w:cstheme="minorHAnsi"/>
          <w:szCs w:val="24"/>
        </w:rPr>
        <w:t xml:space="preserve"> de volatilidad</w:t>
      </w:r>
      <w:r w:rsidR="000A2FE0" w:rsidRPr="0080490E">
        <w:rPr>
          <w:rFonts w:asciiTheme="minorHAnsi" w:hAnsiTheme="minorHAnsi" w:cstheme="minorHAnsi"/>
          <w:szCs w:val="24"/>
        </w:rPr>
        <w:t xml:space="preserve"> de las criptomonedas</w:t>
      </w:r>
      <w:r w:rsidR="000C75CD" w:rsidRPr="0080490E">
        <w:rPr>
          <w:rFonts w:asciiTheme="minorHAnsi" w:hAnsiTheme="minorHAnsi" w:cstheme="minorHAnsi"/>
          <w:szCs w:val="24"/>
        </w:rPr>
        <w:t xml:space="preserve">, el inversor asume un doble riesgo al percibir </w:t>
      </w:r>
      <w:r w:rsidR="00B356FD" w:rsidRPr="0080490E">
        <w:rPr>
          <w:rFonts w:asciiTheme="minorHAnsi" w:hAnsiTheme="minorHAnsi" w:cstheme="minorHAnsi"/>
          <w:szCs w:val="24"/>
        </w:rPr>
        <w:t xml:space="preserve">así </w:t>
      </w:r>
      <w:r w:rsidR="000C75CD" w:rsidRPr="0080490E">
        <w:rPr>
          <w:rFonts w:asciiTheme="minorHAnsi" w:hAnsiTheme="minorHAnsi" w:cstheme="minorHAnsi"/>
          <w:szCs w:val="24"/>
        </w:rPr>
        <w:t>su retribución. Por un lado, el riesgo tradicional de operar con una divisa extranjera y</w:t>
      </w:r>
      <w:r w:rsidR="00FE7D95" w:rsidRPr="0080490E">
        <w:rPr>
          <w:rFonts w:asciiTheme="minorHAnsi" w:hAnsiTheme="minorHAnsi" w:cstheme="minorHAnsi"/>
          <w:szCs w:val="24"/>
        </w:rPr>
        <w:t>, por otro,</w:t>
      </w:r>
      <w:r w:rsidR="000C75CD" w:rsidRPr="0080490E">
        <w:rPr>
          <w:rFonts w:asciiTheme="minorHAnsi" w:hAnsiTheme="minorHAnsi" w:cstheme="minorHAnsi"/>
          <w:szCs w:val="24"/>
        </w:rPr>
        <w:t xml:space="preserve"> las dificultades implícitas y comisiones que deberá asumir para la venta de la </w:t>
      </w:r>
      <w:proofErr w:type="spellStart"/>
      <w:r w:rsidR="000C75CD" w:rsidRPr="0080490E">
        <w:rPr>
          <w:rFonts w:asciiTheme="minorHAnsi" w:hAnsiTheme="minorHAnsi" w:cstheme="minorHAnsi"/>
          <w:i/>
          <w:szCs w:val="24"/>
        </w:rPr>
        <w:t>stablecoin</w:t>
      </w:r>
      <w:proofErr w:type="spellEnd"/>
      <w:r w:rsidR="000C75CD" w:rsidRPr="0080490E">
        <w:rPr>
          <w:rFonts w:asciiTheme="minorHAnsi" w:hAnsiTheme="minorHAnsi" w:cstheme="minorHAnsi"/>
          <w:szCs w:val="24"/>
        </w:rPr>
        <w:t xml:space="preserve"> </w:t>
      </w:r>
      <w:r w:rsidR="00992A68" w:rsidRPr="0080490E">
        <w:rPr>
          <w:rFonts w:asciiTheme="minorHAnsi" w:hAnsiTheme="minorHAnsi" w:cstheme="minorHAnsi"/>
          <w:szCs w:val="24"/>
        </w:rPr>
        <w:t>y</w:t>
      </w:r>
      <w:r w:rsidR="000C75CD" w:rsidRPr="0080490E">
        <w:rPr>
          <w:rFonts w:asciiTheme="minorHAnsi" w:hAnsiTheme="minorHAnsi" w:cstheme="minorHAnsi"/>
          <w:szCs w:val="24"/>
        </w:rPr>
        <w:t xml:space="preserve"> la percepción de dinero de curso legal</w:t>
      </w:r>
      <w:r w:rsidR="00212A3D" w:rsidRPr="0080490E">
        <w:rPr>
          <w:rStyle w:val="Refdenotaalpie"/>
          <w:rFonts w:asciiTheme="minorHAnsi" w:hAnsiTheme="minorHAnsi" w:cstheme="minorHAnsi"/>
          <w:szCs w:val="24"/>
        </w:rPr>
        <w:footnoteReference w:id="24"/>
      </w:r>
      <w:r w:rsidR="000C75CD" w:rsidRPr="0080490E">
        <w:rPr>
          <w:rFonts w:asciiTheme="minorHAnsi" w:hAnsiTheme="minorHAnsi" w:cstheme="minorHAnsi"/>
          <w:szCs w:val="24"/>
        </w:rPr>
        <w:t>.</w:t>
      </w:r>
    </w:p>
    <w:p w14:paraId="6F9628D8" w14:textId="33CB0BE5" w:rsidR="00067ADB" w:rsidRPr="0080490E" w:rsidRDefault="00067ADB"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Una de las </w:t>
      </w:r>
      <w:r w:rsidR="00867FE2" w:rsidRPr="0080490E">
        <w:rPr>
          <w:rFonts w:asciiTheme="minorHAnsi" w:hAnsiTheme="minorHAnsi" w:cstheme="minorHAnsi"/>
          <w:szCs w:val="24"/>
        </w:rPr>
        <w:t>ventajas que aportan</w:t>
      </w:r>
      <w:r w:rsidRPr="0080490E">
        <w:rPr>
          <w:rFonts w:asciiTheme="minorHAnsi" w:hAnsiTheme="minorHAnsi" w:cstheme="minorHAnsi"/>
          <w:szCs w:val="24"/>
        </w:rPr>
        <w:t xml:space="preserve"> las cadenas de bloques es la transmisibilidad </w:t>
      </w:r>
      <w:r w:rsidR="003461CE" w:rsidRPr="0080490E">
        <w:rPr>
          <w:rFonts w:asciiTheme="minorHAnsi" w:hAnsiTheme="minorHAnsi" w:cstheme="minorHAnsi"/>
          <w:szCs w:val="24"/>
        </w:rPr>
        <w:t xml:space="preserve">del </w:t>
      </w:r>
      <w:r w:rsidRPr="0080490E">
        <w:rPr>
          <w:rFonts w:asciiTheme="minorHAnsi" w:hAnsiTheme="minorHAnsi" w:cstheme="minorHAnsi"/>
          <w:szCs w:val="24"/>
        </w:rPr>
        <w:t xml:space="preserve">token y </w:t>
      </w:r>
      <w:r w:rsidR="00867FE2" w:rsidRPr="0080490E">
        <w:rPr>
          <w:rFonts w:asciiTheme="minorHAnsi" w:hAnsiTheme="minorHAnsi" w:cstheme="minorHAnsi"/>
          <w:szCs w:val="24"/>
        </w:rPr>
        <w:t xml:space="preserve">su </w:t>
      </w:r>
      <w:r w:rsidRPr="0080490E">
        <w:rPr>
          <w:rFonts w:asciiTheme="minorHAnsi" w:hAnsiTheme="minorHAnsi" w:cstheme="minorHAnsi"/>
          <w:szCs w:val="24"/>
        </w:rPr>
        <w:t>trazabilidad. De ahí que el adquirente del token pueda trasmitir</w:t>
      </w:r>
      <w:r w:rsidR="003461CE" w:rsidRPr="0080490E">
        <w:rPr>
          <w:rFonts w:asciiTheme="minorHAnsi" w:hAnsiTheme="minorHAnsi" w:cstheme="minorHAnsi"/>
          <w:szCs w:val="24"/>
        </w:rPr>
        <w:t>lo</w:t>
      </w:r>
      <w:r w:rsidRPr="0080490E">
        <w:rPr>
          <w:rFonts w:asciiTheme="minorHAnsi" w:hAnsiTheme="minorHAnsi" w:cstheme="minorHAnsi"/>
          <w:szCs w:val="24"/>
        </w:rPr>
        <w:t xml:space="preserve"> a un tercero y recuperar la inversión. De este modo se dota de mayor liquidez a la inversión inmobiliaria, tradicionalmente calificada como ilíquida. Como luego se expondrá</w:t>
      </w:r>
      <w:r w:rsidR="00D30CA3" w:rsidRPr="0080490E">
        <w:rPr>
          <w:rFonts w:asciiTheme="minorHAnsi" w:hAnsiTheme="minorHAnsi" w:cstheme="minorHAnsi"/>
          <w:szCs w:val="24"/>
        </w:rPr>
        <w:t>,</w:t>
      </w:r>
      <w:r w:rsidRPr="0080490E">
        <w:rPr>
          <w:rFonts w:asciiTheme="minorHAnsi" w:hAnsiTheme="minorHAnsi" w:cstheme="minorHAnsi"/>
          <w:szCs w:val="24"/>
        </w:rPr>
        <w:t xml:space="preserve"> la cuestión de la transmisibilidad del token </w:t>
      </w:r>
      <w:r w:rsidR="00B26CE3" w:rsidRPr="0080490E">
        <w:rPr>
          <w:rFonts w:asciiTheme="minorHAnsi" w:hAnsiTheme="minorHAnsi" w:cstheme="minorHAnsi"/>
          <w:szCs w:val="24"/>
        </w:rPr>
        <w:t>es fundamental</w:t>
      </w:r>
      <w:r w:rsidRPr="0080490E">
        <w:rPr>
          <w:rFonts w:asciiTheme="minorHAnsi" w:hAnsiTheme="minorHAnsi" w:cstheme="minorHAnsi"/>
          <w:szCs w:val="24"/>
        </w:rPr>
        <w:t xml:space="preserve"> en la configuración legal de</w:t>
      </w:r>
      <w:r w:rsidR="005A3DE8" w:rsidRPr="0080490E">
        <w:rPr>
          <w:rFonts w:asciiTheme="minorHAnsi" w:hAnsiTheme="minorHAnsi" w:cstheme="minorHAnsi"/>
          <w:szCs w:val="24"/>
        </w:rPr>
        <w:t xml:space="preserve"> </w:t>
      </w:r>
      <w:r w:rsidRPr="0080490E">
        <w:rPr>
          <w:rFonts w:asciiTheme="minorHAnsi" w:hAnsiTheme="minorHAnsi" w:cstheme="minorHAnsi"/>
          <w:szCs w:val="24"/>
        </w:rPr>
        <w:t>l</w:t>
      </w:r>
      <w:r w:rsidR="005A3DE8" w:rsidRPr="0080490E">
        <w:rPr>
          <w:rFonts w:asciiTheme="minorHAnsi" w:hAnsiTheme="minorHAnsi" w:cstheme="minorHAnsi"/>
          <w:szCs w:val="24"/>
        </w:rPr>
        <w:t>a operación</w:t>
      </w:r>
      <w:r w:rsidRPr="0080490E">
        <w:rPr>
          <w:rFonts w:asciiTheme="minorHAnsi" w:hAnsiTheme="minorHAnsi" w:cstheme="minorHAnsi"/>
          <w:szCs w:val="24"/>
        </w:rPr>
        <w:t>.</w:t>
      </w:r>
    </w:p>
    <w:p w14:paraId="04BE339F" w14:textId="194453FA" w:rsidR="003B5399" w:rsidRPr="0080490E" w:rsidRDefault="00691F36"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La </w:t>
      </w:r>
      <w:r w:rsidR="005A3DE8" w:rsidRPr="0080490E">
        <w:rPr>
          <w:rFonts w:asciiTheme="minorHAnsi" w:hAnsiTheme="minorHAnsi" w:cstheme="minorHAnsi"/>
          <w:szCs w:val="24"/>
        </w:rPr>
        <w:t>quinta</w:t>
      </w:r>
      <w:r w:rsidRPr="0080490E">
        <w:rPr>
          <w:rFonts w:asciiTheme="minorHAnsi" w:hAnsiTheme="minorHAnsi" w:cstheme="minorHAnsi"/>
          <w:szCs w:val="24"/>
        </w:rPr>
        <w:t xml:space="preserve"> fase de</w:t>
      </w:r>
      <w:r w:rsidR="000C75CD" w:rsidRPr="0080490E">
        <w:rPr>
          <w:rFonts w:asciiTheme="minorHAnsi" w:hAnsiTheme="minorHAnsi" w:cstheme="minorHAnsi"/>
          <w:szCs w:val="24"/>
        </w:rPr>
        <w:t xml:space="preserve">l proceso de tokenización </w:t>
      </w:r>
      <w:r w:rsidRPr="0080490E">
        <w:rPr>
          <w:rFonts w:asciiTheme="minorHAnsi" w:hAnsiTheme="minorHAnsi" w:cstheme="minorHAnsi"/>
          <w:szCs w:val="24"/>
        </w:rPr>
        <w:t xml:space="preserve">implica su </w:t>
      </w:r>
      <w:r w:rsidR="000C75CD" w:rsidRPr="0080490E">
        <w:rPr>
          <w:rFonts w:asciiTheme="minorHAnsi" w:hAnsiTheme="minorHAnsi" w:cstheme="minorHAnsi"/>
          <w:szCs w:val="24"/>
        </w:rPr>
        <w:t>finaliza</w:t>
      </w:r>
      <w:r w:rsidR="005A3DE8" w:rsidRPr="0080490E">
        <w:rPr>
          <w:rFonts w:asciiTheme="minorHAnsi" w:hAnsiTheme="minorHAnsi" w:cstheme="minorHAnsi"/>
          <w:szCs w:val="24"/>
        </w:rPr>
        <w:t>ción</w:t>
      </w:r>
      <w:r w:rsidR="000C75CD" w:rsidRPr="0080490E">
        <w:rPr>
          <w:rFonts w:asciiTheme="minorHAnsi" w:hAnsiTheme="minorHAnsi" w:cstheme="minorHAnsi"/>
          <w:szCs w:val="24"/>
        </w:rPr>
        <w:t xml:space="preserve"> y cierr</w:t>
      </w:r>
      <w:r w:rsidRPr="0080490E">
        <w:rPr>
          <w:rFonts w:asciiTheme="minorHAnsi" w:hAnsiTheme="minorHAnsi" w:cstheme="minorHAnsi"/>
          <w:szCs w:val="24"/>
        </w:rPr>
        <w:t xml:space="preserve">e. Cuando </w:t>
      </w:r>
      <w:r w:rsidR="00AC7574" w:rsidRPr="0080490E">
        <w:rPr>
          <w:rFonts w:asciiTheme="minorHAnsi" w:hAnsiTheme="minorHAnsi" w:cstheme="minorHAnsi"/>
          <w:szCs w:val="24"/>
        </w:rPr>
        <w:t>la propiedad</w:t>
      </w:r>
      <w:r w:rsidRPr="0080490E">
        <w:rPr>
          <w:rFonts w:asciiTheme="minorHAnsi" w:hAnsiTheme="minorHAnsi" w:cstheme="minorHAnsi"/>
          <w:szCs w:val="24"/>
        </w:rPr>
        <w:t xml:space="preserve"> </w:t>
      </w:r>
      <w:r w:rsidR="00DB4DA1" w:rsidRPr="0080490E">
        <w:rPr>
          <w:rFonts w:asciiTheme="minorHAnsi" w:hAnsiTheme="minorHAnsi" w:cstheme="minorHAnsi"/>
          <w:szCs w:val="24"/>
        </w:rPr>
        <w:t xml:space="preserve">inmobiliaria </w:t>
      </w:r>
      <w:r w:rsidRPr="0080490E">
        <w:rPr>
          <w:rFonts w:asciiTheme="minorHAnsi" w:hAnsiTheme="minorHAnsi" w:cstheme="minorHAnsi"/>
          <w:szCs w:val="24"/>
        </w:rPr>
        <w:t>es transmi</w:t>
      </w:r>
      <w:r w:rsidR="00AC7574" w:rsidRPr="0080490E">
        <w:rPr>
          <w:rFonts w:asciiTheme="minorHAnsi" w:hAnsiTheme="minorHAnsi" w:cstheme="minorHAnsi"/>
          <w:szCs w:val="24"/>
        </w:rPr>
        <w:t>tida</w:t>
      </w:r>
      <w:r w:rsidRPr="0080490E">
        <w:rPr>
          <w:rFonts w:asciiTheme="minorHAnsi" w:hAnsiTheme="minorHAnsi" w:cstheme="minorHAnsi"/>
          <w:szCs w:val="24"/>
        </w:rPr>
        <w:t xml:space="preserve"> a un tercero</w:t>
      </w:r>
      <w:r w:rsidR="00DE4C8F" w:rsidRPr="0080490E">
        <w:rPr>
          <w:rFonts w:asciiTheme="minorHAnsi" w:hAnsiTheme="minorHAnsi" w:cstheme="minorHAnsi"/>
          <w:szCs w:val="24"/>
        </w:rPr>
        <w:t xml:space="preserve">, el promotor deberá distribuir las cantidades percibidas </w:t>
      </w:r>
      <w:r w:rsidR="00AC7574" w:rsidRPr="0080490E">
        <w:rPr>
          <w:rFonts w:asciiTheme="minorHAnsi" w:hAnsiTheme="minorHAnsi" w:cstheme="minorHAnsi"/>
          <w:szCs w:val="24"/>
        </w:rPr>
        <w:t xml:space="preserve">por la </w:t>
      </w:r>
      <w:r w:rsidR="00DE4C8F" w:rsidRPr="0080490E">
        <w:rPr>
          <w:rFonts w:asciiTheme="minorHAnsi" w:hAnsiTheme="minorHAnsi" w:cstheme="minorHAnsi"/>
          <w:szCs w:val="24"/>
        </w:rPr>
        <w:t xml:space="preserve">venta entre los inversores. Para ello, al igual que antes, deberá cambiar el dinero </w:t>
      </w:r>
      <w:proofErr w:type="spellStart"/>
      <w:r w:rsidR="00DE4C8F" w:rsidRPr="0080490E">
        <w:rPr>
          <w:rFonts w:asciiTheme="minorHAnsi" w:hAnsiTheme="minorHAnsi" w:cstheme="minorHAnsi"/>
          <w:i/>
          <w:iCs/>
          <w:szCs w:val="24"/>
        </w:rPr>
        <w:t>fiat</w:t>
      </w:r>
      <w:proofErr w:type="spellEnd"/>
      <w:r w:rsidR="00DE4C8F" w:rsidRPr="0080490E">
        <w:rPr>
          <w:rFonts w:asciiTheme="minorHAnsi" w:hAnsiTheme="minorHAnsi" w:cstheme="minorHAnsi"/>
          <w:szCs w:val="24"/>
        </w:rPr>
        <w:t xml:space="preserve"> en criptomonedas</w:t>
      </w:r>
      <w:r w:rsidR="000C75CD" w:rsidRPr="0080490E">
        <w:rPr>
          <w:rFonts w:asciiTheme="minorHAnsi" w:hAnsiTheme="minorHAnsi" w:cstheme="minorHAnsi"/>
          <w:szCs w:val="24"/>
        </w:rPr>
        <w:t xml:space="preserve"> </w:t>
      </w:r>
      <w:r w:rsidR="00DE4C8F" w:rsidRPr="0080490E">
        <w:rPr>
          <w:rFonts w:asciiTheme="minorHAnsi" w:hAnsiTheme="minorHAnsi" w:cstheme="minorHAnsi"/>
          <w:szCs w:val="24"/>
        </w:rPr>
        <w:t xml:space="preserve">que se remitirán a las </w:t>
      </w:r>
      <w:proofErr w:type="spellStart"/>
      <w:r w:rsidR="00DE4C8F" w:rsidRPr="0080490E">
        <w:rPr>
          <w:rFonts w:asciiTheme="minorHAnsi" w:hAnsiTheme="minorHAnsi" w:cstheme="minorHAnsi"/>
          <w:i/>
          <w:iCs/>
          <w:szCs w:val="24"/>
        </w:rPr>
        <w:t>wallets</w:t>
      </w:r>
      <w:proofErr w:type="spellEnd"/>
      <w:r w:rsidR="00DE4C8F" w:rsidRPr="0080490E">
        <w:rPr>
          <w:rFonts w:asciiTheme="minorHAnsi" w:hAnsiTheme="minorHAnsi" w:cstheme="minorHAnsi"/>
          <w:szCs w:val="24"/>
        </w:rPr>
        <w:t xml:space="preserve"> de los inversores a través de un </w:t>
      </w:r>
      <w:proofErr w:type="spellStart"/>
      <w:r w:rsidR="00DE4C8F" w:rsidRPr="0080490E">
        <w:rPr>
          <w:rFonts w:asciiTheme="minorHAnsi" w:hAnsiTheme="minorHAnsi" w:cstheme="minorHAnsi"/>
          <w:i/>
          <w:iCs/>
          <w:szCs w:val="24"/>
        </w:rPr>
        <w:t>smart</w:t>
      </w:r>
      <w:proofErr w:type="spellEnd"/>
      <w:r w:rsidR="00DE4C8F" w:rsidRPr="0080490E">
        <w:rPr>
          <w:rFonts w:asciiTheme="minorHAnsi" w:hAnsiTheme="minorHAnsi" w:cstheme="minorHAnsi"/>
          <w:i/>
          <w:iCs/>
          <w:szCs w:val="24"/>
        </w:rPr>
        <w:t xml:space="preserve"> </w:t>
      </w:r>
      <w:proofErr w:type="spellStart"/>
      <w:r w:rsidR="00DE4C8F" w:rsidRPr="0080490E">
        <w:rPr>
          <w:rFonts w:asciiTheme="minorHAnsi" w:hAnsiTheme="minorHAnsi" w:cstheme="minorHAnsi"/>
          <w:i/>
          <w:iCs/>
          <w:szCs w:val="24"/>
        </w:rPr>
        <w:t>contract</w:t>
      </w:r>
      <w:proofErr w:type="spellEnd"/>
      <w:r w:rsidR="00DE4C8F" w:rsidRPr="0080490E">
        <w:rPr>
          <w:rFonts w:asciiTheme="minorHAnsi" w:hAnsiTheme="minorHAnsi" w:cstheme="minorHAnsi"/>
          <w:szCs w:val="24"/>
        </w:rPr>
        <w:t xml:space="preserve">. Una vez completada la operación, </w:t>
      </w:r>
      <w:r w:rsidR="000C75CD" w:rsidRPr="0080490E">
        <w:rPr>
          <w:rFonts w:asciiTheme="minorHAnsi" w:hAnsiTheme="minorHAnsi" w:cstheme="minorHAnsi"/>
          <w:szCs w:val="24"/>
        </w:rPr>
        <w:t xml:space="preserve">los tokens </w:t>
      </w:r>
      <w:r w:rsidR="00D30CA3" w:rsidRPr="0080490E">
        <w:rPr>
          <w:rFonts w:asciiTheme="minorHAnsi" w:hAnsiTheme="minorHAnsi" w:cstheme="minorHAnsi"/>
          <w:szCs w:val="24"/>
        </w:rPr>
        <w:t>serán</w:t>
      </w:r>
      <w:r w:rsidR="000C75CD" w:rsidRPr="0080490E">
        <w:rPr>
          <w:rFonts w:asciiTheme="minorHAnsi" w:hAnsiTheme="minorHAnsi" w:cstheme="minorHAnsi"/>
          <w:szCs w:val="24"/>
        </w:rPr>
        <w:t xml:space="preserve"> remi</w:t>
      </w:r>
      <w:r w:rsidR="00DE4C8F" w:rsidRPr="0080490E">
        <w:rPr>
          <w:rFonts w:asciiTheme="minorHAnsi" w:hAnsiTheme="minorHAnsi" w:cstheme="minorHAnsi"/>
          <w:szCs w:val="24"/>
        </w:rPr>
        <w:t>ti</w:t>
      </w:r>
      <w:r w:rsidR="000C75CD" w:rsidRPr="0080490E">
        <w:rPr>
          <w:rFonts w:asciiTheme="minorHAnsi" w:hAnsiTheme="minorHAnsi" w:cstheme="minorHAnsi"/>
          <w:szCs w:val="24"/>
        </w:rPr>
        <w:t xml:space="preserve">dos al emisor para ser </w:t>
      </w:r>
      <w:r w:rsidR="00DE4C8F" w:rsidRPr="0080490E">
        <w:rPr>
          <w:rFonts w:asciiTheme="minorHAnsi" w:hAnsiTheme="minorHAnsi" w:cstheme="minorHAnsi"/>
          <w:szCs w:val="24"/>
        </w:rPr>
        <w:t xml:space="preserve">cancelados o </w:t>
      </w:r>
      <w:r w:rsidR="000C75CD" w:rsidRPr="0080490E">
        <w:rPr>
          <w:rFonts w:asciiTheme="minorHAnsi" w:hAnsiTheme="minorHAnsi" w:cstheme="minorHAnsi"/>
          <w:szCs w:val="24"/>
        </w:rPr>
        <w:t>quemados.</w:t>
      </w:r>
    </w:p>
    <w:p w14:paraId="0B1F659E" w14:textId="23E67EE1" w:rsidR="00560B4C" w:rsidRPr="0080490E" w:rsidRDefault="00205544"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Este modelo de inversión presenta varias características distintivas</w:t>
      </w:r>
      <w:r w:rsidR="00560B4C" w:rsidRPr="0080490E">
        <w:rPr>
          <w:rFonts w:asciiTheme="minorHAnsi" w:hAnsiTheme="minorHAnsi" w:cstheme="minorHAnsi"/>
          <w:szCs w:val="24"/>
        </w:rPr>
        <w:t xml:space="preserve">: ser participativa, </w:t>
      </w:r>
      <w:proofErr w:type="spellStart"/>
      <w:r w:rsidR="00560B4C" w:rsidRPr="0080490E">
        <w:rPr>
          <w:rFonts w:asciiTheme="minorHAnsi" w:hAnsiTheme="minorHAnsi" w:cstheme="minorHAnsi"/>
          <w:i/>
          <w:iCs/>
          <w:szCs w:val="24"/>
        </w:rPr>
        <w:t>on</w:t>
      </w:r>
      <w:proofErr w:type="spellEnd"/>
      <w:r w:rsidR="00560B4C" w:rsidRPr="0080490E">
        <w:rPr>
          <w:rFonts w:asciiTheme="minorHAnsi" w:hAnsiTheme="minorHAnsi" w:cstheme="minorHAnsi"/>
          <w:i/>
          <w:iCs/>
          <w:szCs w:val="24"/>
        </w:rPr>
        <w:t xml:space="preserve"> line</w:t>
      </w:r>
      <w:r w:rsidR="00560B4C" w:rsidRPr="0080490E">
        <w:rPr>
          <w:rFonts w:asciiTheme="minorHAnsi" w:hAnsiTheme="minorHAnsi" w:cstheme="minorHAnsi"/>
          <w:szCs w:val="24"/>
        </w:rPr>
        <w:t xml:space="preserve">, directa y tokenizada. </w:t>
      </w:r>
      <w:r w:rsidRPr="0080490E">
        <w:rPr>
          <w:rFonts w:asciiTheme="minorHAnsi" w:hAnsiTheme="minorHAnsi" w:cstheme="minorHAnsi"/>
          <w:szCs w:val="24"/>
        </w:rPr>
        <w:t>L</w:t>
      </w:r>
      <w:r w:rsidR="00560B4C" w:rsidRPr="0080490E">
        <w:rPr>
          <w:rFonts w:asciiTheme="minorHAnsi" w:hAnsiTheme="minorHAnsi" w:cstheme="minorHAnsi"/>
          <w:szCs w:val="24"/>
        </w:rPr>
        <w:t xml:space="preserve">a inversión </w:t>
      </w:r>
      <w:r w:rsidR="00AC7574" w:rsidRPr="0080490E">
        <w:rPr>
          <w:rFonts w:asciiTheme="minorHAnsi" w:hAnsiTheme="minorHAnsi" w:cstheme="minorHAnsi"/>
          <w:szCs w:val="24"/>
        </w:rPr>
        <w:t xml:space="preserve">es </w:t>
      </w:r>
      <w:r w:rsidR="00560B4C" w:rsidRPr="0080490E">
        <w:rPr>
          <w:rFonts w:asciiTheme="minorHAnsi" w:hAnsiTheme="minorHAnsi" w:cstheme="minorHAnsi"/>
          <w:szCs w:val="24"/>
        </w:rPr>
        <w:t xml:space="preserve">participativa </w:t>
      </w:r>
      <w:r w:rsidR="00AC7574" w:rsidRPr="0080490E">
        <w:rPr>
          <w:rFonts w:asciiTheme="minorHAnsi" w:hAnsiTheme="minorHAnsi" w:cstheme="minorHAnsi"/>
          <w:szCs w:val="24"/>
        </w:rPr>
        <w:t>por</w:t>
      </w:r>
      <w:r w:rsidR="00560B4C" w:rsidRPr="0080490E">
        <w:rPr>
          <w:rFonts w:asciiTheme="minorHAnsi" w:hAnsiTheme="minorHAnsi" w:cstheme="minorHAnsi"/>
          <w:szCs w:val="24"/>
        </w:rPr>
        <w:t>que una pluralidad de individuos contribu</w:t>
      </w:r>
      <w:r w:rsidR="00114582" w:rsidRPr="0080490E">
        <w:rPr>
          <w:rFonts w:asciiTheme="minorHAnsi" w:hAnsiTheme="minorHAnsi" w:cstheme="minorHAnsi"/>
          <w:szCs w:val="24"/>
        </w:rPr>
        <w:t>ye</w:t>
      </w:r>
      <w:r w:rsidR="00560B4C" w:rsidRPr="0080490E">
        <w:rPr>
          <w:rFonts w:asciiTheme="minorHAnsi" w:hAnsiTheme="minorHAnsi" w:cstheme="minorHAnsi"/>
          <w:szCs w:val="24"/>
        </w:rPr>
        <w:t xml:space="preserve"> a</w:t>
      </w:r>
      <w:r w:rsidR="00114582" w:rsidRPr="0080490E">
        <w:rPr>
          <w:rFonts w:asciiTheme="minorHAnsi" w:hAnsiTheme="minorHAnsi" w:cstheme="minorHAnsi"/>
          <w:szCs w:val="24"/>
        </w:rPr>
        <w:t>l desarrollo de</w:t>
      </w:r>
      <w:r w:rsidR="00D30CA3" w:rsidRPr="0080490E">
        <w:rPr>
          <w:rFonts w:asciiTheme="minorHAnsi" w:hAnsiTheme="minorHAnsi" w:cstheme="minorHAnsi"/>
          <w:szCs w:val="24"/>
        </w:rPr>
        <w:t xml:space="preserve"> un</w:t>
      </w:r>
      <w:r w:rsidR="00114582" w:rsidRPr="0080490E">
        <w:rPr>
          <w:rFonts w:asciiTheme="minorHAnsi" w:hAnsiTheme="minorHAnsi" w:cstheme="minorHAnsi"/>
          <w:szCs w:val="24"/>
        </w:rPr>
        <w:t xml:space="preserve"> </w:t>
      </w:r>
      <w:r w:rsidR="00560B4C" w:rsidRPr="0080490E">
        <w:rPr>
          <w:rFonts w:asciiTheme="minorHAnsi" w:hAnsiTheme="minorHAnsi" w:cstheme="minorHAnsi"/>
          <w:szCs w:val="24"/>
        </w:rPr>
        <w:t>proyecto</w:t>
      </w:r>
      <w:r w:rsidRPr="0080490E">
        <w:rPr>
          <w:rFonts w:asciiTheme="minorHAnsi" w:hAnsiTheme="minorHAnsi" w:cstheme="minorHAnsi"/>
          <w:szCs w:val="24"/>
        </w:rPr>
        <w:t>, en este caso</w:t>
      </w:r>
      <w:r w:rsidR="00D30CA3" w:rsidRPr="0080490E">
        <w:rPr>
          <w:rFonts w:asciiTheme="minorHAnsi" w:hAnsiTheme="minorHAnsi" w:cstheme="minorHAnsi"/>
          <w:szCs w:val="24"/>
        </w:rPr>
        <w:t>,</w:t>
      </w:r>
      <w:r w:rsidR="00114582" w:rsidRPr="0080490E">
        <w:rPr>
          <w:rFonts w:asciiTheme="minorHAnsi" w:hAnsiTheme="minorHAnsi" w:cstheme="minorHAnsi"/>
          <w:szCs w:val="24"/>
        </w:rPr>
        <w:t xml:space="preserve"> la adquisición y explotación económica de un inmueble. </w:t>
      </w:r>
      <w:r w:rsidRPr="0080490E">
        <w:rPr>
          <w:rFonts w:asciiTheme="minorHAnsi" w:hAnsiTheme="minorHAnsi" w:cstheme="minorHAnsi"/>
          <w:szCs w:val="24"/>
        </w:rPr>
        <w:t>La</w:t>
      </w:r>
      <w:r w:rsidR="00114582" w:rsidRPr="0080490E">
        <w:rPr>
          <w:rFonts w:asciiTheme="minorHAnsi" w:hAnsiTheme="minorHAnsi" w:cstheme="minorHAnsi"/>
          <w:szCs w:val="24"/>
        </w:rPr>
        <w:t xml:space="preserve"> </w:t>
      </w:r>
      <w:r w:rsidRPr="0080490E">
        <w:rPr>
          <w:rFonts w:asciiTheme="minorHAnsi" w:hAnsiTheme="minorHAnsi" w:cstheme="minorHAnsi"/>
          <w:szCs w:val="24"/>
        </w:rPr>
        <w:t xml:space="preserve">accesibilidad </w:t>
      </w:r>
      <w:proofErr w:type="spellStart"/>
      <w:r w:rsidR="00114582" w:rsidRPr="0080490E">
        <w:rPr>
          <w:rFonts w:asciiTheme="minorHAnsi" w:hAnsiTheme="minorHAnsi" w:cstheme="minorHAnsi"/>
          <w:i/>
          <w:iCs/>
          <w:szCs w:val="24"/>
        </w:rPr>
        <w:t>on</w:t>
      </w:r>
      <w:proofErr w:type="spellEnd"/>
      <w:r w:rsidR="00114582" w:rsidRPr="0080490E">
        <w:rPr>
          <w:rFonts w:asciiTheme="minorHAnsi" w:hAnsiTheme="minorHAnsi" w:cstheme="minorHAnsi"/>
          <w:i/>
          <w:iCs/>
          <w:szCs w:val="24"/>
        </w:rPr>
        <w:t xml:space="preserve"> line</w:t>
      </w:r>
      <w:r w:rsidR="00114582" w:rsidRPr="0080490E">
        <w:rPr>
          <w:rFonts w:asciiTheme="minorHAnsi" w:hAnsiTheme="minorHAnsi" w:cstheme="minorHAnsi"/>
          <w:szCs w:val="24"/>
        </w:rPr>
        <w:t xml:space="preserve"> a est</w:t>
      </w:r>
      <w:r w:rsidR="00662913" w:rsidRPr="0080490E">
        <w:rPr>
          <w:rFonts w:asciiTheme="minorHAnsi" w:hAnsiTheme="minorHAnsi" w:cstheme="minorHAnsi"/>
          <w:szCs w:val="24"/>
        </w:rPr>
        <w:t>os</w:t>
      </w:r>
      <w:r w:rsidR="00114582" w:rsidRPr="0080490E">
        <w:rPr>
          <w:rFonts w:asciiTheme="minorHAnsi" w:hAnsiTheme="minorHAnsi" w:cstheme="minorHAnsi"/>
          <w:szCs w:val="24"/>
        </w:rPr>
        <w:t xml:space="preserve"> </w:t>
      </w:r>
      <w:r w:rsidR="00662913" w:rsidRPr="0080490E">
        <w:rPr>
          <w:rFonts w:asciiTheme="minorHAnsi" w:hAnsiTheme="minorHAnsi" w:cstheme="minorHAnsi"/>
          <w:szCs w:val="24"/>
        </w:rPr>
        <w:t>proyectos</w:t>
      </w:r>
      <w:r w:rsidR="00114582" w:rsidRPr="0080490E">
        <w:rPr>
          <w:rFonts w:asciiTheme="minorHAnsi" w:hAnsiTheme="minorHAnsi" w:cstheme="minorHAnsi"/>
          <w:szCs w:val="24"/>
        </w:rPr>
        <w:t xml:space="preserve"> permite </w:t>
      </w:r>
      <w:r w:rsidRPr="0080490E">
        <w:rPr>
          <w:rFonts w:asciiTheme="minorHAnsi" w:hAnsiTheme="minorHAnsi" w:cstheme="minorHAnsi"/>
          <w:szCs w:val="24"/>
        </w:rPr>
        <w:t xml:space="preserve">que cualquier persona, desde cualquier parte del mundo, pueda participar en la </w:t>
      </w:r>
      <w:r w:rsidR="00AC7574" w:rsidRPr="0080490E">
        <w:rPr>
          <w:rFonts w:asciiTheme="minorHAnsi" w:hAnsiTheme="minorHAnsi" w:cstheme="minorHAnsi"/>
          <w:szCs w:val="24"/>
        </w:rPr>
        <w:t>inversión</w:t>
      </w:r>
      <w:r w:rsidR="00114582" w:rsidRPr="0080490E">
        <w:rPr>
          <w:rFonts w:asciiTheme="minorHAnsi" w:hAnsiTheme="minorHAnsi" w:cstheme="minorHAnsi"/>
          <w:szCs w:val="24"/>
        </w:rPr>
        <w:t xml:space="preserve">. </w:t>
      </w:r>
      <w:r w:rsidR="00AC7574" w:rsidRPr="0080490E">
        <w:rPr>
          <w:rFonts w:asciiTheme="minorHAnsi" w:hAnsiTheme="minorHAnsi" w:cstheme="minorHAnsi"/>
          <w:szCs w:val="24"/>
        </w:rPr>
        <w:t>Por otro lado</w:t>
      </w:r>
      <w:r w:rsidRPr="0080490E">
        <w:rPr>
          <w:rFonts w:asciiTheme="minorHAnsi" w:hAnsiTheme="minorHAnsi" w:cstheme="minorHAnsi"/>
          <w:szCs w:val="24"/>
        </w:rPr>
        <w:t xml:space="preserve">, </w:t>
      </w:r>
      <w:r w:rsidR="00AC7574" w:rsidRPr="0080490E">
        <w:rPr>
          <w:rFonts w:asciiTheme="minorHAnsi" w:hAnsiTheme="minorHAnsi" w:cstheme="minorHAnsi"/>
          <w:szCs w:val="24"/>
        </w:rPr>
        <w:t>se trata de una</w:t>
      </w:r>
      <w:r w:rsidRPr="0080490E">
        <w:rPr>
          <w:rFonts w:asciiTheme="minorHAnsi" w:hAnsiTheme="minorHAnsi" w:cstheme="minorHAnsi"/>
          <w:szCs w:val="24"/>
        </w:rPr>
        <w:t xml:space="preserve"> inversión directa, ya que los inversores </w:t>
      </w:r>
      <w:r w:rsidR="001D156E" w:rsidRPr="0080490E">
        <w:rPr>
          <w:rFonts w:asciiTheme="minorHAnsi" w:hAnsiTheme="minorHAnsi" w:cstheme="minorHAnsi"/>
          <w:szCs w:val="24"/>
        </w:rPr>
        <w:t>interactúan</w:t>
      </w:r>
      <w:r w:rsidRPr="0080490E">
        <w:rPr>
          <w:rFonts w:asciiTheme="minorHAnsi" w:hAnsiTheme="minorHAnsi" w:cstheme="minorHAnsi"/>
          <w:szCs w:val="24"/>
        </w:rPr>
        <w:t xml:space="preserve"> directamente con el promotor, sin intermediarios</w:t>
      </w:r>
      <w:r w:rsidR="00114582" w:rsidRPr="0080490E">
        <w:rPr>
          <w:rFonts w:asciiTheme="minorHAnsi" w:hAnsiTheme="minorHAnsi" w:cstheme="minorHAnsi"/>
          <w:szCs w:val="24"/>
        </w:rPr>
        <w:t>.</w:t>
      </w:r>
      <w:r w:rsidR="003356C2" w:rsidRPr="0080490E">
        <w:rPr>
          <w:rFonts w:asciiTheme="minorHAnsi" w:hAnsiTheme="minorHAnsi" w:cstheme="minorHAnsi"/>
          <w:szCs w:val="24"/>
        </w:rPr>
        <w:t xml:space="preserve"> Por último, la tokenización </w:t>
      </w:r>
      <w:r w:rsidR="003F41F2" w:rsidRPr="0080490E">
        <w:rPr>
          <w:rFonts w:asciiTheme="minorHAnsi" w:hAnsiTheme="minorHAnsi" w:cstheme="minorHAnsi"/>
          <w:szCs w:val="24"/>
        </w:rPr>
        <w:t xml:space="preserve">determina que </w:t>
      </w:r>
      <w:r w:rsidR="003F41F2" w:rsidRPr="0080490E">
        <w:rPr>
          <w:rFonts w:asciiTheme="minorHAnsi" w:hAnsiTheme="minorHAnsi" w:cstheme="minorHAnsi"/>
          <w:szCs w:val="24"/>
        </w:rPr>
        <w:lastRenderedPageBreak/>
        <w:t xml:space="preserve">el soporte técnico </w:t>
      </w:r>
      <w:r w:rsidR="00D6576D" w:rsidRPr="0080490E">
        <w:rPr>
          <w:rFonts w:asciiTheme="minorHAnsi" w:hAnsiTheme="minorHAnsi" w:cstheme="minorHAnsi"/>
          <w:szCs w:val="24"/>
        </w:rPr>
        <w:t xml:space="preserve">a través del </w:t>
      </w:r>
      <w:r w:rsidR="006C1425" w:rsidRPr="0080490E">
        <w:rPr>
          <w:rFonts w:asciiTheme="minorHAnsi" w:hAnsiTheme="minorHAnsi" w:cstheme="minorHAnsi"/>
          <w:szCs w:val="24"/>
        </w:rPr>
        <w:t>cual</w:t>
      </w:r>
      <w:r w:rsidR="00D6576D" w:rsidRPr="0080490E">
        <w:rPr>
          <w:rFonts w:asciiTheme="minorHAnsi" w:hAnsiTheme="minorHAnsi" w:cstheme="minorHAnsi"/>
          <w:szCs w:val="24"/>
        </w:rPr>
        <w:t xml:space="preserve"> se gestiona </w:t>
      </w:r>
      <w:r w:rsidR="003356C2" w:rsidRPr="0080490E">
        <w:rPr>
          <w:rFonts w:asciiTheme="minorHAnsi" w:hAnsiTheme="minorHAnsi" w:cstheme="minorHAnsi"/>
          <w:szCs w:val="24"/>
        </w:rPr>
        <w:t xml:space="preserve">la operación </w:t>
      </w:r>
      <w:r w:rsidR="003F41F2" w:rsidRPr="0080490E">
        <w:rPr>
          <w:rFonts w:asciiTheme="minorHAnsi" w:hAnsiTheme="minorHAnsi" w:cstheme="minorHAnsi"/>
          <w:szCs w:val="24"/>
        </w:rPr>
        <w:t xml:space="preserve">sea </w:t>
      </w:r>
      <w:r w:rsidR="003356C2" w:rsidRPr="0080490E">
        <w:rPr>
          <w:rFonts w:asciiTheme="minorHAnsi" w:hAnsiTheme="minorHAnsi" w:cstheme="minorHAnsi"/>
          <w:szCs w:val="24"/>
        </w:rPr>
        <w:t>una red blockchain</w:t>
      </w:r>
      <w:r w:rsidR="007F6FF2" w:rsidRPr="0080490E">
        <w:rPr>
          <w:rFonts w:asciiTheme="minorHAnsi" w:hAnsiTheme="minorHAnsi" w:cstheme="minorHAnsi"/>
          <w:szCs w:val="24"/>
        </w:rPr>
        <w:t xml:space="preserve"> o un</w:t>
      </w:r>
      <w:r w:rsidR="0066451D" w:rsidRPr="0080490E">
        <w:rPr>
          <w:rFonts w:asciiTheme="minorHAnsi" w:hAnsiTheme="minorHAnsi" w:cstheme="minorHAnsi"/>
          <w:szCs w:val="24"/>
        </w:rPr>
        <w:t>a</w:t>
      </w:r>
      <w:r w:rsidR="007F6FF2" w:rsidRPr="0080490E">
        <w:rPr>
          <w:rFonts w:asciiTheme="minorHAnsi" w:hAnsiTheme="minorHAnsi" w:cstheme="minorHAnsi"/>
          <w:szCs w:val="24"/>
        </w:rPr>
        <w:t xml:space="preserve"> tecnología DLT</w:t>
      </w:r>
      <w:r w:rsidR="003356C2" w:rsidRPr="0080490E">
        <w:rPr>
          <w:rFonts w:asciiTheme="minorHAnsi" w:hAnsiTheme="minorHAnsi" w:cstheme="minorHAnsi"/>
          <w:szCs w:val="24"/>
        </w:rPr>
        <w:t>.</w:t>
      </w:r>
    </w:p>
    <w:p w14:paraId="3FFBAD8C" w14:textId="5CDDD6E5" w:rsidR="00952722" w:rsidRPr="0080490E" w:rsidRDefault="00A4778B"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Con e</w:t>
      </w:r>
      <w:r w:rsidR="00952722" w:rsidRPr="0080490E">
        <w:rPr>
          <w:rFonts w:asciiTheme="minorHAnsi" w:hAnsiTheme="minorHAnsi" w:cstheme="minorHAnsi"/>
          <w:szCs w:val="24"/>
        </w:rPr>
        <w:t xml:space="preserve">ste modelo </w:t>
      </w:r>
      <w:r w:rsidRPr="0080490E">
        <w:rPr>
          <w:rFonts w:asciiTheme="minorHAnsi" w:hAnsiTheme="minorHAnsi" w:cstheme="minorHAnsi"/>
          <w:szCs w:val="24"/>
        </w:rPr>
        <w:t xml:space="preserve">se </w:t>
      </w:r>
      <w:r w:rsidR="00114582" w:rsidRPr="0080490E">
        <w:rPr>
          <w:rFonts w:asciiTheme="minorHAnsi" w:hAnsiTheme="minorHAnsi" w:cstheme="minorHAnsi"/>
          <w:szCs w:val="24"/>
        </w:rPr>
        <w:t>aspira a</w:t>
      </w:r>
      <w:r w:rsidR="00952722" w:rsidRPr="0080490E">
        <w:rPr>
          <w:rFonts w:asciiTheme="minorHAnsi" w:hAnsiTheme="minorHAnsi" w:cstheme="minorHAnsi"/>
          <w:szCs w:val="24"/>
        </w:rPr>
        <w:t xml:space="preserve"> mejora</w:t>
      </w:r>
      <w:r w:rsidR="00114582" w:rsidRPr="0080490E">
        <w:rPr>
          <w:rFonts w:asciiTheme="minorHAnsi" w:hAnsiTheme="minorHAnsi" w:cstheme="minorHAnsi"/>
          <w:szCs w:val="24"/>
        </w:rPr>
        <w:t>r</w:t>
      </w:r>
      <w:r w:rsidR="00952722" w:rsidRPr="0080490E">
        <w:rPr>
          <w:rFonts w:asciiTheme="minorHAnsi" w:hAnsiTheme="minorHAnsi" w:cstheme="minorHAnsi"/>
          <w:szCs w:val="24"/>
        </w:rPr>
        <w:t xml:space="preserve"> la inversión </w:t>
      </w:r>
      <w:r w:rsidR="001D156E" w:rsidRPr="0080490E">
        <w:rPr>
          <w:rFonts w:asciiTheme="minorHAnsi" w:hAnsiTheme="minorHAnsi" w:cstheme="minorHAnsi"/>
          <w:szCs w:val="24"/>
        </w:rPr>
        <w:t>inmobiliaria</w:t>
      </w:r>
      <w:r w:rsidR="003F4DF0" w:rsidRPr="0080490E">
        <w:rPr>
          <w:rFonts w:asciiTheme="minorHAnsi" w:hAnsiTheme="minorHAnsi" w:cstheme="minorHAnsi"/>
          <w:szCs w:val="24"/>
        </w:rPr>
        <w:t xml:space="preserve"> </w:t>
      </w:r>
      <w:r w:rsidR="00952722" w:rsidRPr="0080490E">
        <w:rPr>
          <w:rFonts w:asciiTheme="minorHAnsi" w:hAnsiTheme="minorHAnsi" w:cstheme="minorHAnsi"/>
          <w:szCs w:val="24"/>
        </w:rPr>
        <w:t xml:space="preserve">tradicional. </w:t>
      </w:r>
      <w:r w:rsidRPr="0080490E">
        <w:rPr>
          <w:rFonts w:asciiTheme="minorHAnsi" w:hAnsiTheme="minorHAnsi" w:cstheme="minorHAnsi"/>
          <w:szCs w:val="24"/>
        </w:rPr>
        <w:t>Por un lado, fracciona</w:t>
      </w:r>
      <w:r w:rsidR="005C5824" w:rsidRPr="0080490E">
        <w:rPr>
          <w:rFonts w:asciiTheme="minorHAnsi" w:hAnsiTheme="minorHAnsi" w:cstheme="minorHAnsi"/>
          <w:szCs w:val="24"/>
        </w:rPr>
        <w:t>r</w:t>
      </w:r>
      <w:r w:rsidRPr="0080490E">
        <w:rPr>
          <w:rFonts w:asciiTheme="minorHAnsi" w:hAnsiTheme="minorHAnsi" w:cstheme="minorHAnsi"/>
          <w:szCs w:val="24"/>
        </w:rPr>
        <w:t xml:space="preserve"> el </w:t>
      </w:r>
      <w:r w:rsidR="005C5824" w:rsidRPr="0080490E">
        <w:rPr>
          <w:rFonts w:asciiTheme="minorHAnsi" w:hAnsiTheme="minorHAnsi" w:cstheme="minorHAnsi"/>
          <w:szCs w:val="24"/>
        </w:rPr>
        <w:t>importe</w:t>
      </w:r>
      <w:r w:rsidRPr="0080490E">
        <w:rPr>
          <w:rFonts w:asciiTheme="minorHAnsi" w:hAnsiTheme="minorHAnsi" w:cstheme="minorHAnsi"/>
          <w:szCs w:val="24"/>
        </w:rPr>
        <w:t xml:space="preserve"> total del proyecto </w:t>
      </w:r>
      <w:r w:rsidR="005C5824" w:rsidRPr="0080490E">
        <w:rPr>
          <w:rFonts w:asciiTheme="minorHAnsi" w:hAnsiTheme="minorHAnsi" w:cstheme="minorHAnsi"/>
          <w:szCs w:val="24"/>
        </w:rPr>
        <w:t xml:space="preserve">en unidades de bajo coste económico </w:t>
      </w:r>
      <w:r w:rsidRPr="0080490E">
        <w:rPr>
          <w:rFonts w:asciiTheme="minorHAnsi" w:hAnsiTheme="minorHAnsi" w:cstheme="minorHAnsi"/>
          <w:szCs w:val="24"/>
        </w:rPr>
        <w:t xml:space="preserve">facilita que un mayor número de personas pueda destinar parte de sus ahorros a </w:t>
      </w:r>
      <w:r w:rsidR="00BA001F" w:rsidRPr="0080490E">
        <w:rPr>
          <w:rFonts w:asciiTheme="minorHAnsi" w:hAnsiTheme="minorHAnsi" w:cstheme="minorHAnsi"/>
          <w:szCs w:val="24"/>
        </w:rPr>
        <w:t>la inversión</w:t>
      </w:r>
      <w:r w:rsidRPr="0080490E">
        <w:rPr>
          <w:rFonts w:asciiTheme="minorHAnsi" w:hAnsiTheme="minorHAnsi" w:cstheme="minorHAnsi"/>
          <w:szCs w:val="24"/>
        </w:rPr>
        <w:t xml:space="preserve">. </w:t>
      </w:r>
      <w:r w:rsidR="00952722" w:rsidRPr="0080490E">
        <w:rPr>
          <w:rFonts w:asciiTheme="minorHAnsi" w:hAnsiTheme="minorHAnsi" w:cstheme="minorHAnsi"/>
          <w:szCs w:val="24"/>
        </w:rPr>
        <w:t xml:space="preserve">Además, </w:t>
      </w:r>
      <w:r w:rsidR="005C5824" w:rsidRPr="0080490E">
        <w:rPr>
          <w:rFonts w:asciiTheme="minorHAnsi" w:hAnsiTheme="minorHAnsi" w:cstheme="minorHAnsi"/>
          <w:szCs w:val="24"/>
        </w:rPr>
        <w:t xml:space="preserve">se </w:t>
      </w:r>
      <w:r w:rsidR="00952722" w:rsidRPr="0080490E">
        <w:rPr>
          <w:rFonts w:asciiTheme="minorHAnsi" w:hAnsiTheme="minorHAnsi" w:cstheme="minorHAnsi"/>
          <w:szCs w:val="24"/>
        </w:rPr>
        <w:t>simplifica</w:t>
      </w:r>
      <w:r w:rsidR="005C5824" w:rsidRPr="0080490E">
        <w:rPr>
          <w:rFonts w:asciiTheme="minorHAnsi" w:hAnsiTheme="minorHAnsi" w:cstheme="minorHAnsi"/>
          <w:szCs w:val="24"/>
        </w:rPr>
        <w:t>n</w:t>
      </w:r>
      <w:r w:rsidR="00952722" w:rsidRPr="0080490E">
        <w:rPr>
          <w:rFonts w:asciiTheme="minorHAnsi" w:hAnsiTheme="minorHAnsi" w:cstheme="minorHAnsi"/>
          <w:szCs w:val="24"/>
        </w:rPr>
        <w:t xml:space="preserve"> los procedimientos por medio del uso de plataformas en línea que permiten una difusión global de los proyectos</w:t>
      </w:r>
      <w:r w:rsidR="007C7936" w:rsidRPr="0080490E">
        <w:rPr>
          <w:rFonts w:asciiTheme="minorHAnsi" w:hAnsiTheme="minorHAnsi" w:cstheme="minorHAnsi"/>
          <w:szCs w:val="24"/>
        </w:rPr>
        <w:t>.</w:t>
      </w:r>
      <w:r w:rsidR="00952722" w:rsidRPr="0080490E">
        <w:rPr>
          <w:rFonts w:asciiTheme="minorHAnsi" w:hAnsiTheme="minorHAnsi" w:cstheme="minorHAnsi"/>
          <w:szCs w:val="24"/>
        </w:rPr>
        <w:t xml:space="preserve"> </w:t>
      </w:r>
      <w:r w:rsidR="007C7936" w:rsidRPr="0080490E">
        <w:rPr>
          <w:rFonts w:asciiTheme="minorHAnsi" w:hAnsiTheme="minorHAnsi" w:cstheme="minorHAnsi"/>
          <w:szCs w:val="24"/>
        </w:rPr>
        <w:t>P</w:t>
      </w:r>
      <w:r w:rsidR="00952722" w:rsidRPr="0080490E">
        <w:rPr>
          <w:rFonts w:asciiTheme="minorHAnsi" w:hAnsiTheme="minorHAnsi" w:cstheme="minorHAnsi"/>
          <w:szCs w:val="24"/>
        </w:rPr>
        <w:t>or otro</w:t>
      </w:r>
      <w:r w:rsidR="007C7936" w:rsidRPr="0080490E">
        <w:rPr>
          <w:rFonts w:asciiTheme="minorHAnsi" w:hAnsiTheme="minorHAnsi" w:cstheme="minorHAnsi"/>
          <w:szCs w:val="24"/>
        </w:rPr>
        <w:t xml:space="preserve"> lado</w:t>
      </w:r>
      <w:r w:rsidR="00952722" w:rsidRPr="0080490E">
        <w:rPr>
          <w:rFonts w:asciiTheme="minorHAnsi" w:hAnsiTheme="minorHAnsi" w:cstheme="minorHAnsi"/>
          <w:szCs w:val="24"/>
        </w:rPr>
        <w:t>, la adquisición directa de los tokens</w:t>
      </w:r>
      <w:r w:rsidR="007C7936" w:rsidRPr="0080490E">
        <w:rPr>
          <w:rFonts w:asciiTheme="minorHAnsi" w:hAnsiTheme="minorHAnsi" w:cstheme="minorHAnsi"/>
          <w:szCs w:val="24"/>
        </w:rPr>
        <w:t xml:space="preserve"> al promotor reduc</w:t>
      </w:r>
      <w:r w:rsidRPr="0080490E">
        <w:rPr>
          <w:rFonts w:asciiTheme="minorHAnsi" w:hAnsiTheme="minorHAnsi" w:cstheme="minorHAnsi"/>
          <w:szCs w:val="24"/>
        </w:rPr>
        <w:t xml:space="preserve">e </w:t>
      </w:r>
      <w:r w:rsidR="007C7936" w:rsidRPr="0080490E">
        <w:rPr>
          <w:rFonts w:asciiTheme="minorHAnsi" w:hAnsiTheme="minorHAnsi" w:cstheme="minorHAnsi"/>
          <w:szCs w:val="24"/>
        </w:rPr>
        <w:t>costes</w:t>
      </w:r>
      <w:r w:rsidR="005C5824" w:rsidRPr="0080490E">
        <w:rPr>
          <w:rFonts w:asciiTheme="minorHAnsi" w:hAnsiTheme="minorHAnsi" w:cstheme="minorHAnsi"/>
          <w:szCs w:val="24"/>
        </w:rPr>
        <w:t xml:space="preserve"> de transacción</w:t>
      </w:r>
      <w:r w:rsidR="007C7936" w:rsidRPr="0080490E">
        <w:rPr>
          <w:rFonts w:asciiTheme="minorHAnsi" w:hAnsiTheme="minorHAnsi" w:cstheme="minorHAnsi"/>
          <w:szCs w:val="24"/>
        </w:rPr>
        <w:t xml:space="preserve"> por ausencia de intermediarios y </w:t>
      </w:r>
      <w:r w:rsidR="00B2214E" w:rsidRPr="0080490E">
        <w:rPr>
          <w:rFonts w:asciiTheme="minorHAnsi" w:hAnsiTheme="minorHAnsi" w:cstheme="minorHAnsi"/>
          <w:szCs w:val="24"/>
        </w:rPr>
        <w:t xml:space="preserve">elimina </w:t>
      </w:r>
      <w:r w:rsidR="007C7936" w:rsidRPr="0080490E">
        <w:rPr>
          <w:rFonts w:asciiTheme="minorHAnsi" w:hAnsiTheme="minorHAnsi" w:cstheme="minorHAnsi"/>
          <w:szCs w:val="24"/>
        </w:rPr>
        <w:t xml:space="preserve">barreras de entrada </w:t>
      </w:r>
      <w:r w:rsidR="00BA001F" w:rsidRPr="0080490E">
        <w:rPr>
          <w:rFonts w:asciiTheme="minorHAnsi" w:hAnsiTheme="minorHAnsi" w:cstheme="minorHAnsi"/>
          <w:szCs w:val="24"/>
        </w:rPr>
        <w:t>a</w:t>
      </w:r>
      <w:r w:rsidR="007C7936" w:rsidRPr="0080490E">
        <w:rPr>
          <w:rFonts w:asciiTheme="minorHAnsi" w:hAnsiTheme="minorHAnsi" w:cstheme="minorHAnsi"/>
          <w:szCs w:val="24"/>
        </w:rPr>
        <w:t xml:space="preserve"> los inversores. </w:t>
      </w:r>
      <w:r w:rsidRPr="0080490E">
        <w:rPr>
          <w:rFonts w:asciiTheme="minorHAnsi" w:hAnsiTheme="minorHAnsi" w:cstheme="minorHAnsi"/>
          <w:szCs w:val="24"/>
        </w:rPr>
        <w:t>También</w:t>
      </w:r>
      <w:r w:rsidR="007C7936" w:rsidRPr="0080490E">
        <w:rPr>
          <w:rFonts w:asciiTheme="minorHAnsi" w:hAnsiTheme="minorHAnsi" w:cstheme="minorHAnsi"/>
          <w:szCs w:val="24"/>
        </w:rPr>
        <w:t xml:space="preserve"> puede </w:t>
      </w:r>
      <w:r w:rsidRPr="0080490E">
        <w:rPr>
          <w:rFonts w:asciiTheme="minorHAnsi" w:hAnsiTheme="minorHAnsi" w:cstheme="minorHAnsi"/>
          <w:szCs w:val="24"/>
        </w:rPr>
        <w:t xml:space="preserve">considerarse como una </w:t>
      </w:r>
      <w:r w:rsidR="00B2214E" w:rsidRPr="0080490E">
        <w:rPr>
          <w:rFonts w:asciiTheme="minorHAnsi" w:hAnsiTheme="minorHAnsi" w:cstheme="minorHAnsi"/>
          <w:szCs w:val="24"/>
        </w:rPr>
        <w:t>ventaja</w:t>
      </w:r>
      <w:r w:rsidRPr="0080490E">
        <w:rPr>
          <w:rFonts w:asciiTheme="minorHAnsi" w:hAnsiTheme="minorHAnsi" w:cstheme="minorHAnsi"/>
          <w:szCs w:val="24"/>
        </w:rPr>
        <w:t xml:space="preserve"> </w:t>
      </w:r>
      <w:r w:rsidR="00B2214E" w:rsidRPr="0080490E">
        <w:rPr>
          <w:rFonts w:asciiTheme="minorHAnsi" w:hAnsiTheme="minorHAnsi" w:cstheme="minorHAnsi"/>
          <w:szCs w:val="24"/>
        </w:rPr>
        <w:t xml:space="preserve">que el inversor </w:t>
      </w:r>
      <w:r w:rsidRPr="0080490E">
        <w:rPr>
          <w:rFonts w:asciiTheme="minorHAnsi" w:hAnsiTheme="minorHAnsi" w:cstheme="minorHAnsi"/>
          <w:szCs w:val="24"/>
        </w:rPr>
        <w:t>compart</w:t>
      </w:r>
      <w:r w:rsidR="00B2214E" w:rsidRPr="0080490E">
        <w:rPr>
          <w:rFonts w:asciiTheme="minorHAnsi" w:hAnsiTheme="minorHAnsi" w:cstheme="minorHAnsi"/>
          <w:szCs w:val="24"/>
        </w:rPr>
        <w:t>a</w:t>
      </w:r>
      <w:r w:rsidRPr="0080490E">
        <w:rPr>
          <w:rFonts w:asciiTheme="minorHAnsi" w:hAnsiTheme="minorHAnsi" w:cstheme="minorHAnsi"/>
          <w:szCs w:val="24"/>
        </w:rPr>
        <w:t xml:space="preserve"> riesgos y beneficios con el promotor que es el primer interesado en la viabilidad del proyecto</w:t>
      </w:r>
      <w:r w:rsidR="00952722" w:rsidRPr="0080490E">
        <w:rPr>
          <w:rFonts w:asciiTheme="minorHAnsi" w:hAnsiTheme="minorHAnsi" w:cstheme="minorHAnsi"/>
          <w:szCs w:val="24"/>
        </w:rPr>
        <w:t xml:space="preserve">. Por último, la </w:t>
      </w:r>
      <w:r w:rsidRPr="0080490E">
        <w:rPr>
          <w:rFonts w:asciiTheme="minorHAnsi" w:hAnsiTheme="minorHAnsi" w:cstheme="minorHAnsi"/>
          <w:szCs w:val="24"/>
        </w:rPr>
        <w:t xml:space="preserve">tokenización agiliza los pagos a los inversores mediante la ejecución automatizada </w:t>
      </w:r>
      <w:r w:rsidR="007C7936" w:rsidRPr="0080490E">
        <w:rPr>
          <w:rFonts w:asciiTheme="minorHAnsi" w:hAnsiTheme="minorHAnsi" w:cstheme="minorHAnsi"/>
          <w:szCs w:val="24"/>
        </w:rPr>
        <w:t xml:space="preserve">de los </w:t>
      </w:r>
      <w:proofErr w:type="spellStart"/>
      <w:r w:rsidR="007C7936" w:rsidRPr="0080490E">
        <w:rPr>
          <w:rFonts w:asciiTheme="minorHAnsi" w:hAnsiTheme="minorHAnsi" w:cstheme="minorHAnsi"/>
          <w:i/>
          <w:iCs/>
          <w:szCs w:val="24"/>
        </w:rPr>
        <w:t>smart</w:t>
      </w:r>
      <w:proofErr w:type="spellEnd"/>
      <w:r w:rsidR="007C7936" w:rsidRPr="0080490E">
        <w:rPr>
          <w:rFonts w:asciiTheme="minorHAnsi" w:hAnsiTheme="minorHAnsi" w:cstheme="minorHAnsi"/>
          <w:i/>
          <w:iCs/>
          <w:szCs w:val="24"/>
        </w:rPr>
        <w:t xml:space="preserve"> </w:t>
      </w:r>
      <w:proofErr w:type="spellStart"/>
      <w:r w:rsidR="007C7936" w:rsidRPr="0080490E">
        <w:rPr>
          <w:rFonts w:asciiTheme="minorHAnsi" w:hAnsiTheme="minorHAnsi" w:cstheme="minorHAnsi"/>
          <w:i/>
          <w:iCs/>
          <w:szCs w:val="24"/>
        </w:rPr>
        <w:t>contracts</w:t>
      </w:r>
      <w:proofErr w:type="spellEnd"/>
      <w:r w:rsidR="00B2214E" w:rsidRPr="0080490E">
        <w:rPr>
          <w:rFonts w:asciiTheme="minorHAnsi" w:hAnsiTheme="minorHAnsi" w:cstheme="minorHAnsi"/>
          <w:szCs w:val="24"/>
        </w:rPr>
        <w:t xml:space="preserve"> y </w:t>
      </w:r>
      <w:r w:rsidR="007C7936" w:rsidRPr="0080490E">
        <w:rPr>
          <w:rFonts w:asciiTheme="minorHAnsi" w:hAnsiTheme="minorHAnsi" w:cstheme="minorHAnsi"/>
          <w:szCs w:val="24"/>
        </w:rPr>
        <w:t xml:space="preserve">ofrece </w:t>
      </w:r>
      <w:r w:rsidRPr="0080490E">
        <w:rPr>
          <w:rFonts w:asciiTheme="minorHAnsi" w:hAnsiTheme="minorHAnsi" w:cstheme="minorHAnsi"/>
          <w:szCs w:val="24"/>
        </w:rPr>
        <w:t xml:space="preserve">al inversor </w:t>
      </w:r>
      <w:r w:rsidR="00952722" w:rsidRPr="0080490E">
        <w:rPr>
          <w:rFonts w:asciiTheme="minorHAnsi" w:hAnsiTheme="minorHAnsi" w:cstheme="minorHAnsi"/>
          <w:szCs w:val="24"/>
        </w:rPr>
        <w:t xml:space="preserve">una mayor liquidez </w:t>
      </w:r>
      <w:r w:rsidR="00B2214E" w:rsidRPr="0080490E">
        <w:rPr>
          <w:rFonts w:asciiTheme="minorHAnsi" w:hAnsiTheme="minorHAnsi" w:cstheme="minorHAnsi"/>
          <w:szCs w:val="24"/>
        </w:rPr>
        <w:t xml:space="preserve">por la </w:t>
      </w:r>
      <w:r w:rsidRPr="0080490E">
        <w:rPr>
          <w:rFonts w:asciiTheme="minorHAnsi" w:hAnsiTheme="minorHAnsi" w:cstheme="minorHAnsi"/>
          <w:szCs w:val="24"/>
        </w:rPr>
        <w:t>transmisi</w:t>
      </w:r>
      <w:r w:rsidR="00B2214E" w:rsidRPr="0080490E">
        <w:rPr>
          <w:rFonts w:asciiTheme="minorHAnsi" w:hAnsiTheme="minorHAnsi" w:cstheme="minorHAnsi"/>
          <w:szCs w:val="24"/>
        </w:rPr>
        <w:t xml:space="preserve">bilidad </w:t>
      </w:r>
      <w:r w:rsidRPr="0080490E">
        <w:rPr>
          <w:rFonts w:asciiTheme="minorHAnsi" w:hAnsiTheme="minorHAnsi" w:cstheme="minorHAnsi"/>
          <w:szCs w:val="24"/>
        </w:rPr>
        <w:t xml:space="preserve">de </w:t>
      </w:r>
      <w:r w:rsidR="00B2214E" w:rsidRPr="0080490E">
        <w:rPr>
          <w:rFonts w:asciiTheme="minorHAnsi" w:hAnsiTheme="minorHAnsi" w:cstheme="minorHAnsi"/>
          <w:szCs w:val="24"/>
        </w:rPr>
        <w:t xml:space="preserve">los </w:t>
      </w:r>
      <w:r w:rsidRPr="0080490E">
        <w:rPr>
          <w:rFonts w:asciiTheme="minorHAnsi" w:hAnsiTheme="minorHAnsi" w:cstheme="minorHAnsi"/>
          <w:szCs w:val="24"/>
        </w:rPr>
        <w:t>tokens a terceros</w:t>
      </w:r>
      <w:r w:rsidR="00952722" w:rsidRPr="0080490E">
        <w:rPr>
          <w:rFonts w:asciiTheme="minorHAnsi" w:hAnsiTheme="minorHAnsi" w:cstheme="minorHAnsi"/>
          <w:szCs w:val="24"/>
        </w:rPr>
        <w:t>.</w:t>
      </w:r>
    </w:p>
    <w:p w14:paraId="7FDDF90A" w14:textId="467C033E" w:rsidR="003B5399" w:rsidRPr="0080490E" w:rsidRDefault="008F60EE"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Con todo, l</w:t>
      </w:r>
      <w:r w:rsidR="00BD71A4" w:rsidRPr="0080490E">
        <w:rPr>
          <w:rFonts w:asciiTheme="minorHAnsi" w:hAnsiTheme="minorHAnsi" w:cstheme="minorHAnsi"/>
          <w:szCs w:val="24"/>
        </w:rPr>
        <w:t>a rentabilidad general de estas operaciones dependerá, como en toda inversión inmobiliaria, de dos factores principales: la revalorización del inmueble y la evolución de la inflación. Si la revalorización del inmueble supera la inflación, la operación será económicamente exitosa.</w:t>
      </w:r>
    </w:p>
    <w:p w14:paraId="47E21E78" w14:textId="77777777" w:rsidR="00560B4C" w:rsidRPr="0080490E" w:rsidRDefault="00560B4C" w:rsidP="0080490E">
      <w:pPr>
        <w:spacing w:after="0" w:line="276" w:lineRule="auto"/>
        <w:ind w:firstLine="0"/>
        <w:rPr>
          <w:rFonts w:asciiTheme="minorHAnsi" w:hAnsiTheme="minorHAnsi" w:cstheme="minorHAnsi"/>
          <w:szCs w:val="24"/>
        </w:rPr>
      </w:pPr>
    </w:p>
    <w:p w14:paraId="19721A0B" w14:textId="023D6596" w:rsidR="00F72695" w:rsidRPr="0080490E" w:rsidRDefault="007A2471" w:rsidP="0080490E">
      <w:pPr>
        <w:pStyle w:val="Ttulo1"/>
        <w:spacing w:after="0" w:line="276" w:lineRule="auto"/>
        <w:ind w:firstLine="0"/>
        <w:rPr>
          <w:rFonts w:asciiTheme="minorHAnsi" w:hAnsiTheme="minorHAnsi" w:cstheme="minorHAnsi"/>
        </w:rPr>
      </w:pPr>
      <w:r w:rsidRPr="0080490E">
        <w:rPr>
          <w:rFonts w:asciiTheme="minorHAnsi" w:hAnsiTheme="minorHAnsi" w:cstheme="minorHAnsi"/>
        </w:rPr>
        <w:t>4</w:t>
      </w:r>
      <w:r w:rsidR="00990C52" w:rsidRPr="0080490E">
        <w:rPr>
          <w:rFonts w:asciiTheme="minorHAnsi" w:hAnsiTheme="minorHAnsi" w:cstheme="minorHAnsi"/>
        </w:rPr>
        <w:t xml:space="preserve">. </w:t>
      </w:r>
      <w:r w:rsidR="00F72695" w:rsidRPr="0080490E">
        <w:rPr>
          <w:rFonts w:asciiTheme="minorHAnsi" w:hAnsiTheme="minorHAnsi" w:cstheme="minorHAnsi"/>
        </w:rPr>
        <w:t xml:space="preserve">Distinción entre </w:t>
      </w:r>
      <w:r w:rsidR="00F72695" w:rsidRPr="0080490E">
        <w:rPr>
          <w:rFonts w:asciiTheme="minorHAnsi" w:hAnsiTheme="minorHAnsi" w:cstheme="minorHAnsi"/>
          <w:i/>
        </w:rPr>
        <w:t>crowdfunding</w:t>
      </w:r>
      <w:r w:rsidR="00F72695" w:rsidRPr="0080490E">
        <w:rPr>
          <w:rFonts w:asciiTheme="minorHAnsi" w:hAnsiTheme="minorHAnsi" w:cstheme="minorHAnsi"/>
        </w:rPr>
        <w:t xml:space="preserve"> inmobiliario </w:t>
      </w:r>
      <w:r w:rsidR="007C4A4F" w:rsidRPr="0080490E">
        <w:rPr>
          <w:rFonts w:asciiTheme="minorHAnsi" w:hAnsiTheme="minorHAnsi" w:cstheme="minorHAnsi"/>
        </w:rPr>
        <w:t>e</w:t>
      </w:r>
      <w:r w:rsidR="00F72695" w:rsidRPr="0080490E">
        <w:rPr>
          <w:rFonts w:asciiTheme="minorHAnsi" w:hAnsiTheme="minorHAnsi" w:cstheme="minorHAnsi"/>
        </w:rPr>
        <w:t xml:space="preserve"> inversión </w:t>
      </w:r>
      <w:r w:rsidR="00CF3760" w:rsidRPr="0080490E">
        <w:rPr>
          <w:rFonts w:asciiTheme="minorHAnsi" w:hAnsiTheme="minorHAnsi" w:cstheme="minorHAnsi"/>
        </w:rPr>
        <w:t>participativa, directa y</w:t>
      </w:r>
      <w:r w:rsidR="00F72695" w:rsidRPr="0080490E">
        <w:rPr>
          <w:rFonts w:asciiTheme="minorHAnsi" w:hAnsiTheme="minorHAnsi" w:cstheme="minorHAnsi"/>
        </w:rPr>
        <w:t xml:space="preserve"> tokenizada</w:t>
      </w:r>
    </w:p>
    <w:p w14:paraId="61C05831" w14:textId="02A17599" w:rsidR="009E395D" w:rsidRPr="0080490E" w:rsidRDefault="00DB71AB"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El </w:t>
      </w:r>
      <w:r w:rsidRPr="0080490E">
        <w:rPr>
          <w:rFonts w:asciiTheme="minorHAnsi" w:hAnsiTheme="minorHAnsi" w:cstheme="minorHAnsi"/>
          <w:i/>
          <w:szCs w:val="24"/>
        </w:rPr>
        <w:t>crowdfunding</w:t>
      </w:r>
      <w:r w:rsidRPr="0080490E">
        <w:rPr>
          <w:rFonts w:asciiTheme="minorHAnsi" w:hAnsiTheme="minorHAnsi" w:cstheme="minorHAnsi"/>
          <w:szCs w:val="24"/>
        </w:rPr>
        <w:t xml:space="preserve"> constituye un modelo de financiación alternativo y complementario a los tradicionales que permite canalizar el ahorro hacia a la inversión</w:t>
      </w:r>
      <w:r w:rsidRPr="0080490E">
        <w:rPr>
          <w:rStyle w:val="Refdenotaalpie"/>
          <w:rFonts w:asciiTheme="minorHAnsi" w:hAnsiTheme="minorHAnsi" w:cstheme="minorHAnsi"/>
          <w:szCs w:val="24"/>
        </w:rPr>
        <w:footnoteReference w:id="25"/>
      </w:r>
      <w:r w:rsidRPr="0080490E">
        <w:rPr>
          <w:rFonts w:asciiTheme="minorHAnsi" w:hAnsiTheme="minorHAnsi" w:cstheme="minorHAnsi"/>
          <w:szCs w:val="24"/>
        </w:rPr>
        <w:t xml:space="preserve">. </w:t>
      </w:r>
      <w:r w:rsidR="00384110" w:rsidRPr="0080490E">
        <w:rPr>
          <w:rFonts w:asciiTheme="minorHAnsi" w:hAnsiTheme="minorHAnsi" w:cstheme="minorHAnsi"/>
          <w:szCs w:val="24"/>
        </w:rPr>
        <w:t>S</w:t>
      </w:r>
      <w:r w:rsidR="00EA05A0" w:rsidRPr="0080490E">
        <w:rPr>
          <w:rFonts w:asciiTheme="minorHAnsi" w:hAnsiTheme="minorHAnsi" w:cstheme="minorHAnsi"/>
          <w:szCs w:val="24"/>
        </w:rPr>
        <w:t>e pueden distinguir varias tipologías</w:t>
      </w:r>
      <w:r w:rsidR="00EA05A0" w:rsidRPr="0080490E">
        <w:rPr>
          <w:rStyle w:val="Refdenotaalpie"/>
          <w:rFonts w:asciiTheme="minorHAnsi" w:hAnsiTheme="minorHAnsi" w:cstheme="minorHAnsi"/>
          <w:szCs w:val="24"/>
        </w:rPr>
        <w:footnoteReference w:id="26"/>
      </w:r>
      <w:r w:rsidR="00EA05A0" w:rsidRPr="0080490E">
        <w:rPr>
          <w:rFonts w:asciiTheme="minorHAnsi" w:hAnsiTheme="minorHAnsi" w:cstheme="minorHAnsi"/>
          <w:szCs w:val="24"/>
        </w:rPr>
        <w:t xml:space="preserve">. Por un lado, el </w:t>
      </w:r>
      <w:r w:rsidR="00EA05A0" w:rsidRPr="0080490E">
        <w:rPr>
          <w:rFonts w:asciiTheme="minorHAnsi" w:hAnsiTheme="minorHAnsi" w:cstheme="minorHAnsi"/>
          <w:i/>
          <w:szCs w:val="24"/>
        </w:rPr>
        <w:t>crowdfunding</w:t>
      </w:r>
      <w:r w:rsidR="00EA05A0" w:rsidRPr="0080490E">
        <w:rPr>
          <w:rFonts w:asciiTheme="minorHAnsi" w:hAnsiTheme="minorHAnsi" w:cstheme="minorHAnsi"/>
          <w:szCs w:val="24"/>
        </w:rPr>
        <w:t xml:space="preserve"> de inversi</w:t>
      </w:r>
      <w:r w:rsidR="00384110" w:rsidRPr="0080490E">
        <w:rPr>
          <w:rFonts w:asciiTheme="minorHAnsi" w:hAnsiTheme="minorHAnsi" w:cstheme="minorHAnsi"/>
          <w:szCs w:val="24"/>
        </w:rPr>
        <w:t>ó</w:t>
      </w:r>
      <w:r w:rsidR="00EA05A0" w:rsidRPr="0080490E">
        <w:rPr>
          <w:rFonts w:asciiTheme="minorHAnsi" w:hAnsiTheme="minorHAnsi" w:cstheme="minorHAnsi"/>
          <w:szCs w:val="24"/>
        </w:rPr>
        <w:t xml:space="preserve">n que, a su vez, puede dividirse en el </w:t>
      </w:r>
      <w:proofErr w:type="spellStart"/>
      <w:r w:rsidR="00EA05A0" w:rsidRPr="0080490E">
        <w:rPr>
          <w:rFonts w:asciiTheme="minorHAnsi" w:hAnsiTheme="minorHAnsi" w:cstheme="minorHAnsi"/>
          <w:i/>
          <w:szCs w:val="24"/>
        </w:rPr>
        <w:t>debt</w:t>
      </w:r>
      <w:proofErr w:type="spellEnd"/>
      <w:r w:rsidR="00EA05A0" w:rsidRPr="0080490E">
        <w:rPr>
          <w:rFonts w:asciiTheme="minorHAnsi" w:hAnsiTheme="minorHAnsi" w:cstheme="minorHAnsi"/>
          <w:i/>
          <w:szCs w:val="24"/>
        </w:rPr>
        <w:t xml:space="preserve"> crowdfunding</w:t>
      </w:r>
      <w:r w:rsidR="00EA05A0" w:rsidRPr="0080490E">
        <w:rPr>
          <w:rFonts w:asciiTheme="minorHAnsi" w:hAnsiTheme="minorHAnsi" w:cstheme="minorHAnsi"/>
          <w:szCs w:val="24"/>
        </w:rPr>
        <w:t xml:space="preserve">, donde la financiación se </w:t>
      </w:r>
      <w:r w:rsidR="00384110" w:rsidRPr="0080490E">
        <w:rPr>
          <w:rFonts w:asciiTheme="minorHAnsi" w:hAnsiTheme="minorHAnsi" w:cstheme="minorHAnsi"/>
          <w:szCs w:val="24"/>
        </w:rPr>
        <w:t>concreta</w:t>
      </w:r>
      <w:r w:rsidR="00EA05A0" w:rsidRPr="0080490E">
        <w:rPr>
          <w:rFonts w:asciiTheme="minorHAnsi" w:hAnsiTheme="minorHAnsi" w:cstheme="minorHAnsi"/>
          <w:szCs w:val="24"/>
        </w:rPr>
        <w:t xml:space="preserve"> mediante la suscripción de valores representativos de deuda y el </w:t>
      </w:r>
      <w:proofErr w:type="spellStart"/>
      <w:r w:rsidR="00EA05A0" w:rsidRPr="0080490E">
        <w:rPr>
          <w:rFonts w:asciiTheme="minorHAnsi" w:hAnsiTheme="minorHAnsi" w:cstheme="minorHAnsi"/>
          <w:i/>
          <w:szCs w:val="24"/>
        </w:rPr>
        <w:t>equity</w:t>
      </w:r>
      <w:proofErr w:type="spellEnd"/>
      <w:r w:rsidR="00EA05A0" w:rsidRPr="0080490E">
        <w:rPr>
          <w:rFonts w:asciiTheme="minorHAnsi" w:hAnsiTheme="minorHAnsi" w:cstheme="minorHAnsi"/>
          <w:i/>
          <w:szCs w:val="24"/>
        </w:rPr>
        <w:t xml:space="preserve"> crowdfunding</w:t>
      </w:r>
      <w:r w:rsidR="00EA05A0" w:rsidRPr="0080490E">
        <w:rPr>
          <w:rFonts w:asciiTheme="minorHAnsi" w:hAnsiTheme="minorHAnsi" w:cstheme="minorHAnsi"/>
          <w:szCs w:val="24"/>
        </w:rPr>
        <w:t xml:space="preserve">, en el </w:t>
      </w:r>
      <w:r w:rsidR="00384110" w:rsidRPr="0080490E">
        <w:rPr>
          <w:rFonts w:asciiTheme="minorHAnsi" w:hAnsiTheme="minorHAnsi" w:cstheme="minorHAnsi"/>
          <w:szCs w:val="24"/>
        </w:rPr>
        <w:t>que</w:t>
      </w:r>
      <w:r w:rsidR="00EA05A0" w:rsidRPr="0080490E">
        <w:rPr>
          <w:rFonts w:asciiTheme="minorHAnsi" w:hAnsiTheme="minorHAnsi" w:cstheme="minorHAnsi"/>
          <w:szCs w:val="24"/>
        </w:rPr>
        <w:t xml:space="preserve"> la </w:t>
      </w:r>
      <w:r w:rsidR="00384110" w:rsidRPr="0080490E">
        <w:rPr>
          <w:rFonts w:asciiTheme="minorHAnsi" w:hAnsiTheme="minorHAnsi" w:cstheme="minorHAnsi"/>
          <w:szCs w:val="24"/>
        </w:rPr>
        <w:t>aportación</w:t>
      </w:r>
      <w:r w:rsidR="00EA05A0" w:rsidRPr="0080490E">
        <w:rPr>
          <w:rFonts w:asciiTheme="minorHAnsi" w:hAnsiTheme="minorHAnsi" w:cstheme="minorHAnsi"/>
          <w:szCs w:val="24"/>
        </w:rPr>
        <w:t xml:space="preserve"> del inversor se destina al capital de la empresa promotora. Por otro lado, el </w:t>
      </w:r>
      <w:r w:rsidR="00EA05A0" w:rsidRPr="0080490E">
        <w:rPr>
          <w:rFonts w:asciiTheme="minorHAnsi" w:hAnsiTheme="minorHAnsi" w:cstheme="minorHAnsi"/>
          <w:i/>
          <w:szCs w:val="24"/>
        </w:rPr>
        <w:t>crowdlending</w:t>
      </w:r>
      <w:r w:rsidR="00EA05A0" w:rsidRPr="0080490E">
        <w:rPr>
          <w:rFonts w:asciiTheme="minorHAnsi" w:hAnsiTheme="minorHAnsi" w:cstheme="minorHAnsi"/>
          <w:szCs w:val="24"/>
        </w:rPr>
        <w:t xml:space="preserve"> en el que la financiación se entrega en forma de préstamo que el promotor deberá devolver al término del contrato</w:t>
      </w:r>
      <w:r w:rsidR="00EA05A0" w:rsidRPr="0080490E">
        <w:rPr>
          <w:rStyle w:val="Refdenotaalpie"/>
          <w:rFonts w:asciiTheme="minorHAnsi" w:hAnsiTheme="minorHAnsi" w:cstheme="minorHAnsi"/>
          <w:szCs w:val="24"/>
        </w:rPr>
        <w:footnoteReference w:id="27"/>
      </w:r>
      <w:r w:rsidR="00EA05A0" w:rsidRPr="0080490E">
        <w:rPr>
          <w:rFonts w:asciiTheme="minorHAnsi" w:hAnsiTheme="minorHAnsi" w:cstheme="minorHAnsi"/>
          <w:szCs w:val="24"/>
        </w:rPr>
        <w:t>.</w:t>
      </w:r>
    </w:p>
    <w:p w14:paraId="21B785E2" w14:textId="5588219D" w:rsidR="00AF0CDB" w:rsidRPr="0080490E" w:rsidRDefault="00EA05A0"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lastRenderedPageBreak/>
        <w:t xml:space="preserve">Para mitigar los riesgos implícitos </w:t>
      </w:r>
      <w:r w:rsidR="00BA001F" w:rsidRPr="0080490E">
        <w:rPr>
          <w:rFonts w:asciiTheme="minorHAnsi" w:hAnsiTheme="minorHAnsi" w:cstheme="minorHAnsi"/>
          <w:szCs w:val="24"/>
        </w:rPr>
        <w:t>de</w:t>
      </w:r>
      <w:r w:rsidRPr="0080490E">
        <w:rPr>
          <w:rFonts w:asciiTheme="minorHAnsi" w:hAnsiTheme="minorHAnsi" w:cstheme="minorHAnsi"/>
          <w:szCs w:val="24"/>
        </w:rPr>
        <w:t xml:space="preserve"> toda inversión y evitar comportamientos ilícitos por las entidades financiadas, el </w:t>
      </w:r>
      <w:r w:rsidRPr="0080490E">
        <w:rPr>
          <w:rFonts w:asciiTheme="minorHAnsi" w:hAnsiTheme="minorHAnsi" w:cstheme="minorHAnsi"/>
          <w:i/>
          <w:szCs w:val="24"/>
        </w:rPr>
        <w:t>crowdfunding</w:t>
      </w:r>
      <w:r w:rsidRPr="0080490E">
        <w:rPr>
          <w:rFonts w:asciiTheme="minorHAnsi" w:hAnsiTheme="minorHAnsi" w:cstheme="minorHAnsi"/>
          <w:szCs w:val="24"/>
        </w:rPr>
        <w:t xml:space="preserve"> ha sido objeto de regulación a través de la Ley 5/2015, de 27 de abril, de fomento de la financiación empresarial (en adelante LFFE) y el Reglamento (UE) 2020/1503 del Parlamento Europeo y del Consejo de 7 de octubre de 2020 relativo a los proveedores europeos de servicios de financiación participativa para empresas (en adelante, Reglamento </w:t>
      </w:r>
      <w:r w:rsidRPr="0080490E">
        <w:rPr>
          <w:rStyle w:val="nfasis"/>
          <w:rFonts w:asciiTheme="minorHAnsi" w:hAnsiTheme="minorHAnsi" w:cstheme="minorHAnsi"/>
          <w:i w:val="0"/>
          <w:iCs w:val="0"/>
          <w:szCs w:val="24"/>
        </w:rPr>
        <w:t>ECSP</w:t>
      </w:r>
      <w:r w:rsidRPr="0080490E">
        <w:rPr>
          <w:rFonts w:asciiTheme="minorHAnsi" w:hAnsiTheme="minorHAnsi" w:cstheme="minorHAnsi"/>
          <w:szCs w:val="24"/>
        </w:rPr>
        <w:t>)</w:t>
      </w:r>
      <w:r w:rsidR="00343F79" w:rsidRPr="0080490E">
        <w:rPr>
          <w:rStyle w:val="Refdenotaalpie"/>
          <w:rFonts w:asciiTheme="minorHAnsi" w:hAnsiTheme="minorHAnsi" w:cstheme="minorHAnsi"/>
          <w:szCs w:val="24"/>
        </w:rPr>
        <w:footnoteReference w:id="28"/>
      </w:r>
      <w:r w:rsidRPr="0080490E">
        <w:rPr>
          <w:rFonts w:asciiTheme="minorHAnsi" w:hAnsiTheme="minorHAnsi" w:cstheme="minorHAnsi"/>
          <w:szCs w:val="24"/>
        </w:rPr>
        <w:t>.</w:t>
      </w:r>
      <w:r w:rsidR="00343F79" w:rsidRPr="0080490E">
        <w:rPr>
          <w:rFonts w:asciiTheme="minorHAnsi" w:hAnsiTheme="minorHAnsi" w:cstheme="minorHAnsi"/>
          <w:szCs w:val="24"/>
        </w:rPr>
        <w:t xml:space="preserve"> </w:t>
      </w:r>
      <w:r w:rsidR="00C7464B" w:rsidRPr="0080490E">
        <w:rPr>
          <w:rFonts w:asciiTheme="minorHAnsi" w:hAnsiTheme="minorHAnsi" w:cstheme="minorHAnsi"/>
          <w:szCs w:val="24"/>
        </w:rPr>
        <w:t>E</w:t>
      </w:r>
      <w:r w:rsidRPr="0080490E">
        <w:rPr>
          <w:rFonts w:asciiTheme="minorHAnsi" w:hAnsiTheme="minorHAnsi" w:cstheme="minorHAnsi"/>
          <w:szCs w:val="24"/>
        </w:rPr>
        <w:t xml:space="preserve">n </w:t>
      </w:r>
      <w:r w:rsidR="00C7464B" w:rsidRPr="0080490E">
        <w:rPr>
          <w:rFonts w:asciiTheme="minorHAnsi" w:hAnsiTheme="minorHAnsi" w:cstheme="minorHAnsi"/>
          <w:szCs w:val="24"/>
        </w:rPr>
        <w:t>l</w:t>
      </w:r>
      <w:r w:rsidRPr="0080490E">
        <w:rPr>
          <w:rFonts w:asciiTheme="minorHAnsi" w:hAnsiTheme="minorHAnsi" w:cstheme="minorHAnsi"/>
          <w:szCs w:val="24"/>
        </w:rPr>
        <w:t>a medida en que el</w:t>
      </w:r>
      <w:r w:rsidR="00C7464B" w:rsidRPr="0080490E">
        <w:rPr>
          <w:rFonts w:asciiTheme="minorHAnsi" w:hAnsiTheme="minorHAnsi" w:cstheme="minorHAnsi"/>
          <w:szCs w:val="24"/>
        </w:rPr>
        <w:t xml:space="preserve"> modelo </w:t>
      </w:r>
      <w:r w:rsidR="000D2742" w:rsidRPr="0080490E">
        <w:rPr>
          <w:rFonts w:asciiTheme="minorHAnsi" w:hAnsiTheme="minorHAnsi" w:cstheme="minorHAnsi"/>
          <w:szCs w:val="24"/>
        </w:rPr>
        <w:t xml:space="preserve">de financiación </w:t>
      </w:r>
      <w:r w:rsidR="00C7464B" w:rsidRPr="0080490E">
        <w:rPr>
          <w:rFonts w:asciiTheme="minorHAnsi" w:hAnsiTheme="minorHAnsi" w:cstheme="minorHAnsi"/>
          <w:szCs w:val="24"/>
        </w:rPr>
        <w:t xml:space="preserve">descrito en el apartado anterior </w:t>
      </w:r>
      <w:r w:rsidR="00D85EAF" w:rsidRPr="0080490E">
        <w:rPr>
          <w:rFonts w:asciiTheme="minorHAnsi" w:hAnsiTheme="minorHAnsi" w:cstheme="minorHAnsi"/>
          <w:szCs w:val="24"/>
        </w:rPr>
        <w:t>presenta una dimensión</w:t>
      </w:r>
      <w:r w:rsidR="00C7464B" w:rsidRPr="0080490E">
        <w:rPr>
          <w:rFonts w:asciiTheme="minorHAnsi" w:hAnsiTheme="minorHAnsi" w:cstheme="minorHAnsi"/>
          <w:szCs w:val="24"/>
        </w:rPr>
        <w:t xml:space="preserve"> participativa</w:t>
      </w:r>
      <w:r w:rsidRPr="0080490E">
        <w:rPr>
          <w:rFonts w:asciiTheme="minorHAnsi" w:hAnsiTheme="minorHAnsi" w:cstheme="minorHAnsi"/>
          <w:szCs w:val="24"/>
        </w:rPr>
        <w:t xml:space="preserve"> es </w:t>
      </w:r>
      <w:r w:rsidR="00AF0CDB" w:rsidRPr="0080490E">
        <w:rPr>
          <w:rFonts w:asciiTheme="minorHAnsi" w:hAnsiTheme="minorHAnsi" w:cstheme="minorHAnsi"/>
          <w:szCs w:val="24"/>
        </w:rPr>
        <w:t xml:space="preserve">preciso valorar la aplicación de </w:t>
      </w:r>
      <w:r w:rsidR="00343F79" w:rsidRPr="0080490E">
        <w:rPr>
          <w:rFonts w:asciiTheme="minorHAnsi" w:hAnsiTheme="minorHAnsi" w:cstheme="minorHAnsi"/>
          <w:szCs w:val="24"/>
        </w:rPr>
        <w:t>esta normativa.</w:t>
      </w:r>
    </w:p>
    <w:p w14:paraId="76CB01C8" w14:textId="75D4F45A" w:rsidR="007F45ED" w:rsidRPr="0080490E" w:rsidRDefault="00D40EF4"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La </w:t>
      </w:r>
      <w:r w:rsidR="00727643" w:rsidRPr="0080490E">
        <w:rPr>
          <w:rFonts w:asciiTheme="minorHAnsi" w:hAnsiTheme="minorHAnsi" w:cstheme="minorHAnsi"/>
          <w:szCs w:val="24"/>
        </w:rPr>
        <w:t xml:space="preserve">redacción original de la </w:t>
      </w:r>
      <w:r w:rsidR="00A50C8D" w:rsidRPr="0080490E">
        <w:rPr>
          <w:rFonts w:asciiTheme="minorHAnsi" w:hAnsiTheme="minorHAnsi" w:cstheme="minorHAnsi"/>
          <w:szCs w:val="24"/>
        </w:rPr>
        <w:t>Ley 5/2015</w:t>
      </w:r>
      <w:r w:rsidR="00727643" w:rsidRPr="0080490E">
        <w:rPr>
          <w:rFonts w:asciiTheme="minorHAnsi" w:hAnsiTheme="minorHAnsi" w:cstheme="minorHAnsi"/>
          <w:szCs w:val="24"/>
        </w:rPr>
        <w:t xml:space="preserve"> </w:t>
      </w:r>
      <w:r w:rsidRPr="0080490E">
        <w:rPr>
          <w:rFonts w:asciiTheme="minorHAnsi" w:hAnsiTheme="minorHAnsi" w:cstheme="minorHAnsi"/>
          <w:szCs w:val="24"/>
        </w:rPr>
        <w:t xml:space="preserve">contenía </w:t>
      </w:r>
      <w:r w:rsidR="00B105E9" w:rsidRPr="0080490E">
        <w:rPr>
          <w:rFonts w:asciiTheme="minorHAnsi" w:hAnsiTheme="minorHAnsi" w:cstheme="minorHAnsi"/>
          <w:szCs w:val="24"/>
        </w:rPr>
        <w:t>en su</w:t>
      </w:r>
      <w:r w:rsidRPr="0080490E">
        <w:rPr>
          <w:rFonts w:asciiTheme="minorHAnsi" w:hAnsiTheme="minorHAnsi" w:cstheme="minorHAnsi"/>
          <w:szCs w:val="24"/>
        </w:rPr>
        <w:t xml:space="preserve"> </w:t>
      </w:r>
      <w:r w:rsidR="00B105E9" w:rsidRPr="0080490E">
        <w:rPr>
          <w:rFonts w:asciiTheme="minorHAnsi" w:hAnsiTheme="minorHAnsi" w:cstheme="minorHAnsi"/>
          <w:szCs w:val="24"/>
        </w:rPr>
        <w:t>T</w:t>
      </w:r>
      <w:r w:rsidRPr="0080490E">
        <w:rPr>
          <w:rFonts w:asciiTheme="minorHAnsi" w:hAnsiTheme="minorHAnsi" w:cstheme="minorHAnsi"/>
          <w:szCs w:val="24"/>
        </w:rPr>
        <w:t xml:space="preserve">ítulo </w:t>
      </w:r>
      <w:r w:rsidR="00B105E9" w:rsidRPr="0080490E">
        <w:rPr>
          <w:rFonts w:asciiTheme="minorHAnsi" w:hAnsiTheme="minorHAnsi" w:cstheme="minorHAnsi"/>
          <w:szCs w:val="24"/>
        </w:rPr>
        <w:t xml:space="preserve">V la regulación </w:t>
      </w:r>
      <w:r w:rsidRPr="0080490E">
        <w:rPr>
          <w:rFonts w:asciiTheme="minorHAnsi" w:hAnsiTheme="minorHAnsi" w:cstheme="minorHAnsi"/>
          <w:szCs w:val="24"/>
        </w:rPr>
        <w:t>específic</w:t>
      </w:r>
      <w:r w:rsidR="00B105E9" w:rsidRPr="0080490E">
        <w:rPr>
          <w:rFonts w:asciiTheme="minorHAnsi" w:hAnsiTheme="minorHAnsi" w:cstheme="minorHAnsi"/>
          <w:szCs w:val="24"/>
        </w:rPr>
        <w:t>a</w:t>
      </w:r>
      <w:r w:rsidRPr="0080490E">
        <w:rPr>
          <w:rFonts w:asciiTheme="minorHAnsi" w:hAnsiTheme="minorHAnsi" w:cstheme="minorHAnsi"/>
          <w:szCs w:val="24"/>
        </w:rPr>
        <w:t xml:space="preserve"> de las plataformas de financiación participativa</w:t>
      </w:r>
      <w:r w:rsidR="00A50C8D" w:rsidRPr="0080490E">
        <w:rPr>
          <w:rFonts w:asciiTheme="minorHAnsi" w:hAnsiTheme="minorHAnsi" w:cstheme="minorHAnsi"/>
          <w:szCs w:val="24"/>
        </w:rPr>
        <w:t xml:space="preserve"> que </w:t>
      </w:r>
      <w:r w:rsidRPr="0080490E">
        <w:rPr>
          <w:rFonts w:asciiTheme="minorHAnsi" w:hAnsiTheme="minorHAnsi" w:cstheme="minorHAnsi"/>
          <w:szCs w:val="24"/>
        </w:rPr>
        <w:t>fue tácitamente derogad</w:t>
      </w:r>
      <w:r w:rsidR="00A50C8D" w:rsidRPr="0080490E">
        <w:rPr>
          <w:rFonts w:asciiTheme="minorHAnsi" w:hAnsiTheme="minorHAnsi" w:cstheme="minorHAnsi"/>
          <w:szCs w:val="24"/>
        </w:rPr>
        <w:t>a</w:t>
      </w:r>
      <w:r w:rsidRPr="0080490E">
        <w:rPr>
          <w:rFonts w:asciiTheme="minorHAnsi" w:hAnsiTheme="minorHAnsi" w:cstheme="minorHAnsi"/>
          <w:szCs w:val="24"/>
        </w:rPr>
        <w:t xml:space="preserve"> por la entrada en vigor y efecto directo del Reglamento </w:t>
      </w:r>
      <w:r w:rsidR="00024611" w:rsidRPr="0080490E">
        <w:rPr>
          <w:rStyle w:val="nfasis"/>
          <w:rFonts w:asciiTheme="minorHAnsi" w:hAnsiTheme="minorHAnsi" w:cstheme="minorHAnsi"/>
          <w:i w:val="0"/>
          <w:iCs w:val="0"/>
          <w:szCs w:val="24"/>
        </w:rPr>
        <w:t>ECSP</w:t>
      </w:r>
      <w:r w:rsidRPr="0080490E">
        <w:rPr>
          <w:rFonts w:asciiTheme="minorHAnsi" w:hAnsiTheme="minorHAnsi" w:cstheme="minorHAnsi"/>
          <w:szCs w:val="24"/>
        </w:rPr>
        <w:t xml:space="preserve">. La redacción original fue sustituida </w:t>
      </w:r>
      <w:r w:rsidR="00DC1D03" w:rsidRPr="0080490E">
        <w:rPr>
          <w:rFonts w:asciiTheme="minorHAnsi" w:hAnsiTheme="minorHAnsi" w:cstheme="minorHAnsi"/>
          <w:szCs w:val="24"/>
        </w:rPr>
        <w:t>por</w:t>
      </w:r>
      <w:r w:rsidRPr="0080490E">
        <w:rPr>
          <w:rFonts w:asciiTheme="minorHAnsi" w:hAnsiTheme="minorHAnsi" w:cstheme="minorHAnsi"/>
          <w:szCs w:val="24"/>
        </w:rPr>
        <w:t xml:space="preserve"> la Ley 18/2022, de 28 de septiembre, de creación y crecimiento de empresas que</w:t>
      </w:r>
      <w:r w:rsidR="00FE0C71" w:rsidRPr="0080490E">
        <w:rPr>
          <w:rFonts w:asciiTheme="minorHAnsi" w:hAnsiTheme="minorHAnsi" w:cstheme="minorHAnsi"/>
          <w:szCs w:val="24"/>
        </w:rPr>
        <w:t>, en buena medida,</w:t>
      </w:r>
      <w:r w:rsidRPr="0080490E">
        <w:rPr>
          <w:rFonts w:asciiTheme="minorHAnsi" w:hAnsiTheme="minorHAnsi" w:cstheme="minorHAnsi"/>
          <w:szCs w:val="24"/>
        </w:rPr>
        <w:t xml:space="preserve"> </w:t>
      </w:r>
      <w:r w:rsidR="00FE0C71" w:rsidRPr="0080490E">
        <w:rPr>
          <w:rFonts w:asciiTheme="minorHAnsi" w:hAnsiTheme="minorHAnsi" w:cstheme="minorHAnsi"/>
          <w:szCs w:val="24"/>
        </w:rPr>
        <w:t xml:space="preserve">desarrolla el Reglamento en cuanto a las </w:t>
      </w:r>
      <w:r w:rsidR="00727643" w:rsidRPr="0080490E">
        <w:rPr>
          <w:rFonts w:asciiTheme="minorHAnsi" w:hAnsiTheme="minorHAnsi" w:cstheme="minorHAnsi"/>
          <w:szCs w:val="24"/>
        </w:rPr>
        <w:t xml:space="preserve">funciones </w:t>
      </w:r>
      <w:r w:rsidR="00B105E9" w:rsidRPr="0080490E">
        <w:rPr>
          <w:rFonts w:asciiTheme="minorHAnsi" w:hAnsiTheme="minorHAnsi" w:cstheme="minorHAnsi"/>
          <w:szCs w:val="24"/>
        </w:rPr>
        <w:t>de</w:t>
      </w:r>
      <w:r w:rsidR="00727643" w:rsidRPr="0080490E">
        <w:rPr>
          <w:rFonts w:asciiTheme="minorHAnsi" w:hAnsiTheme="minorHAnsi" w:cstheme="minorHAnsi"/>
          <w:szCs w:val="24"/>
        </w:rPr>
        <w:t xml:space="preserve"> </w:t>
      </w:r>
      <w:r w:rsidR="009E6F3C" w:rsidRPr="0080490E">
        <w:rPr>
          <w:rFonts w:asciiTheme="minorHAnsi" w:hAnsiTheme="minorHAnsi" w:cstheme="minorHAnsi"/>
          <w:szCs w:val="24"/>
        </w:rPr>
        <w:t xml:space="preserve">la </w:t>
      </w:r>
      <w:r w:rsidR="00343F79" w:rsidRPr="0080490E">
        <w:rPr>
          <w:rFonts w:asciiTheme="minorHAnsi" w:hAnsiTheme="minorHAnsi" w:cstheme="minorHAnsi"/>
          <w:szCs w:val="24"/>
        </w:rPr>
        <w:t xml:space="preserve">Comisión Nacional del Mercado de Valores (en adelante, </w:t>
      </w:r>
      <w:r w:rsidR="009E6F3C" w:rsidRPr="0080490E">
        <w:rPr>
          <w:rFonts w:asciiTheme="minorHAnsi" w:hAnsiTheme="minorHAnsi" w:cstheme="minorHAnsi"/>
          <w:szCs w:val="24"/>
        </w:rPr>
        <w:t>CNMV</w:t>
      </w:r>
      <w:r w:rsidR="00343F79" w:rsidRPr="0080490E">
        <w:rPr>
          <w:rFonts w:asciiTheme="minorHAnsi" w:hAnsiTheme="minorHAnsi" w:cstheme="minorHAnsi"/>
          <w:szCs w:val="24"/>
        </w:rPr>
        <w:t>)</w:t>
      </w:r>
      <w:r w:rsidR="009E6F3C" w:rsidRPr="0080490E">
        <w:rPr>
          <w:rFonts w:asciiTheme="minorHAnsi" w:hAnsiTheme="minorHAnsi" w:cstheme="minorHAnsi"/>
          <w:szCs w:val="24"/>
        </w:rPr>
        <w:t xml:space="preserve"> para la </w:t>
      </w:r>
      <w:r w:rsidR="00FE0C71" w:rsidRPr="0080490E">
        <w:rPr>
          <w:rFonts w:asciiTheme="minorHAnsi" w:hAnsiTheme="minorHAnsi" w:cstheme="minorHAnsi"/>
          <w:szCs w:val="24"/>
        </w:rPr>
        <w:t>autorización y registro de las plataformas</w:t>
      </w:r>
      <w:r w:rsidRPr="0080490E">
        <w:rPr>
          <w:rFonts w:asciiTheme="minorHAnsi" w:hAnsiTheme="minorHAnsi" w:cstheme="minorHAnsi"/>
          <w:szCs w:val="24"/>
        </w:rPr>
        <w:t>.</w:t>
      </w:r>
    </w:p>
    <w:p w14:paraId="5773AD57" w14:textId="509CAEE2" w:rsidR="005A3911" w:rsidRPr="0080490E" w:rsidRDefault="007F45ED"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De </w:t>
      </w:r>
      <w:r w:rsidR="00F275B7" w:rsidRPr="0080490E">
        <w:rPr>
          <w:rFonts w:asciiTheme="minorHAnsi" w:hAnsiTheme="minorHAnsi" w:cstheme="minorHAnsi"/>
          <w:szCs w:val="24"/>
        </w:rPr>
        <w:t>la normativa española y europea</w:t>
      </w:r>
      <w:r w:rsidRPr="0080490E">
        <w:rPr>
          <w:rFonts w:asciiTheme="minorHAnsi" w:hAnsiTheme="minorHAnsi" w:cstheme="minorHAnsi"/>
          <w:szCs w:val="24"/>
        </w:rPr>
        <w:t xml:space="preserve"> se deduce</w:t>
      </w:r>
      <w:r w:rsidR="00DC1D03" w:rsidRPr="0080490E">
        <w:rPr>
          <w:rFonts w:asciiTheme="minorHAnsi" w:hAnsiTheme="minorHAnsi" w:cstheme="minorHAnsi"/>
          <w:szCs w:val="24"/>
        </w:rPr>
        <w:t>, en primer término</w:t>
      </w:r>
      <w:r w:rsidR="00B76EB7" w:rsidRPr="0080490E">
        <w:rPr>
          <w:rFonts w:asciiTheme="minorHAnsi" w:hAnsiTheme="minorHAnsi" w:cstheme="minorHAnsi"/>
          <w:szCs w:val="24"/>
        </w:rPr>
        <w:t>,</w:t>
      </w:r>
      <w:r w:rsidR="00FB2B63" w:rsidRPr="0080490E">
        <w:rPr>
          <w:rFonts w:asciiTheme="minorHAnsi" w:hAnsiTheme="minorHAnsi" w:cstheme="minorHAnsi"/>
          <w:szCs w:val="24"/>
        </w:rPr>
        <w:t xml:space="preserve"> </w:t>
      </w:r>
      <w:r w:rsidR="00684B29" w:rsidRPr="0080490E">
        <w:rPr>
          <w:rFonts w:asciiTheme="minorHAnsi" w:hAnsiTheme="minorHAnsi" w:cstheme="minorHAnsi"/>
          <w:szCs w:val="24"/>
        </w:rPr>
        <w:t>que</w:t>
      </w:r>
      <w:r w:rsidRPr="0080490E">
        <w:rPr>
          <w:rFonts w:asciiTheme="minorHAnsi" w:hAnsiTheme="minorHAnsi" w:cstheme="minorHAnsi"/>
          <w:szCs w:val="24"/>
        </w:rPr>
        <w:t xml:space="preserve"> </w:t>
      </w:r>
      <w:r w:rsidR="00684B29" w:rsidRPr="0080490E">
        <w:rPr>
          <w:rFonts w:asciiTheme="minorHAnsi" w:hAnsiTheme="minorHAnsi" w:cstheme="minorHAnsi"/>
          <w:szCs w:val="24"/>
        </w:rPr>
        <w:t xml:space="preserve">el </w:t>
      </w:r>
      <w:r w:rsidR="00684B29" w:rsidRPr="0080490E">
        <w:rPr>
          <w:rFonts w:asciiTheme="minorHAnsi" w:hAnsiTheme="minorHAnsi" w:cstheme="minorHAnsi"/>
          <w:i/>
          <w:szCs w:val="24"/>
        </w:rPr>
        <w:t>crowdfunding</w:t>
      </w:r>
      <w:r w:rsidR="00684B29" w:rsidRPr="0080490E">
        <w:rPr>
          <w:rFonts w:asciiTheme="minorHAnsi" w:hAnsiTheme="minorHAnsi" w:cstheme="minorHAnsi"/>
          <w:szCs w:val="24"/>
        </w:rPr>
        <w:t xml:space="preserve"> se caracteriza por ser una financiación intermediada por una plataforma </w:t>
      </w:r>
      <w:r w:rsidR="00C61541" w:rsidRPr="0080490E">
        <w:rPr>
          <w:rFonts w:asciiTheme="minorHAnsi" w:hAnsiTheme="minorHAnsi" w:cstheme="minorHAnsi"/>
          <w:szCs w:val="24"/>
        </w:rPr>
        <w:t xml:space="preserve">que opera </w:t>
      </w:r>
      <w:proofErr w:type="spellStart"/>
      <w:r w:rsidR="00294B6D" w:rsidRPr="0080490E">
        <w:rPr>
          <w:rFonts w:asciiTheme="minorHAnsi" w:hAnsiTheme="minorHAnsi" w:cstheme="minorHAnsi"/>
          <w:i/>
          <w:iCs/>
          <w:szCs w:val="24"/>
        </w:rPr>
        <w:t>on</w:t>
      </w:r>
      <w:proofErr w:type="spellEnd"/>
      <w:r w:rsidR="00294B6D" w:rsidRPr="0080490E">
        <w:rPr>
          <w:rFonts w:asciiTheme="minorHAnsi" w:hAnsiTheme="minorHAnsi" w:cstheme="minorHAnsi"/>
          <w:i/>
          <w:iCs/>
          <w:szCs w:val="24"/>
        </w:rPr>
        <w:t xml:space="preserve"> line</w:t>
      </w:r>
      <w:r w:rsidR="00D6499D" w:rsidRPr="0080490E">
        <w:rPr>
          <w:rStyle w:val="Refdenotaalpie"/>
          <w:rFonts w:asciiTheme="minorHAnsi" w:hAnsiTheme="minorHAnsi" w:cstheme="minorHAnsi"/>
          <w:szCs w:val="24"/>
        </w:rPr>
        <w:footnoteReference w:id="29"/>
      </w:r>
      <w:r w:rsidR="00684B29" w:rsidRPr="0080490E">
        <w:rPr>
          <w:rFonts w:asciiTheme="minorHAnsi" w:hAnsiTheme="minorHAnsi" w:cstheme="minorHAnsi"/>
          <w:szCs w:val="24"/>
        </w:rPr>
        <w:t xml:space="preserve">. Esta nota determina que entre la entidad financiada y el </w:t>
      </w:r>
      <w:r w:rsidR="001B2E27" w:rsidRPr="0080490E">
        <w:rPr>
          <w:rFonts w:asciiTheme="minorHAnsi" w:hAnsiTheme="minorHAnsi" w:cstheme="minorHAnsi"/>
          <w:szCs w:val="24"/>
        </w:rPr>
        <w:t xml:space="preserve">financiador o </w:t>
      </w:r>
      <w:r w:rsidR="00684B29" w:rsidRPr="0080490E">
        <w:rPr>
          <w:rFonts w:asciiTheme="minorHAnsi" w:hAnsiTheme="minorHAnsi" w:cstheme="minorHAnsi"/>
          <w:szCs w:val="24"/>
        </w:rPr>
        <w:t xml:space="preserve">inversor hay un tercer sujeto que es la plataforma de financiación que asume </w:t>
      </w:r>
      <w:r w:rsidR="005A3911" w:rsidRPr="0080490E">
        <w:rPr>
          <w:rFonts w:asciiTheme="minorHAnsi" w:hAnsiTheme="minorHAnsi" w:cstheme="minorHAnsi"/>
          <w:szCs w:val="24"/>
        </w:rPr>
        <w:t>el</w:t>
      </w:r>
      <w:r w:rsidR="00684B29" w:rsidRPr="0080490E">
        <w:rPr>
          <w:rFonts w:asciiTheme="minorHAnsi" w:hAnsiTheme="minorHAnsi" w:cstheme="minorHAnsi"/>
          <w:szCs w:val="24"/>
        </w:rPr>
        <w:t xml:space="preserve"> rol de intermediario.</w:t>
      </w:r>
      <w:r w:rsidR="00B105E9" w:rsidRPr="0080490E">
        <w:rPr>
          <w:rFonts w:asciiTheme="minorHAnsi" w:hAnsiTheme="minorHAnsi" w:cstheme="minorHAnsi"/>
          <w:szCs w:val="24"/>
        </w:rPr>
        <w:t xml:space="preserve"> La</w:t>
      </w:r>
      <w:r w:rsidR="00684B29" w:rsidRPr="0080490E">
        <w:rPr>
          <w:rFonts w:asciiTheme="minorHAnsi" w:hAnsiTheme="minorHAnsi" w:cstheme="minorHAnsi"/>
          <w:szCs w:val="24"/>
        </w:rPr>
        <w:t xml:space="preserve"> plataforma se limita</w:t>
      </w:r>
      <w:r w:rsidR="005A3911" w:rsidRPr="0080490E">
        <w:rPr>
          <w:rFonts w:asciiTheme="minorHAnsi" w:hAnsiTheme="minorHAnsi" w:cstheme="minorHAnsi"/>
          <w:szCs w:val="24"/>
        </w:rPr>
        <w:t>, por tanto,</w:t>
      </w:r>
      <w:r w:rsidR="00684B29" w:rsidRPr="0080490E">
        <w:rPr>
          <w:rFonts w:asciiTheme="minorHAnsi" w:hAnsiTheme="minorHAnsi" w:cstheme="minorHAnsi"/>
          <w:szCs w:val="24"/>
        </w:rPr>
        <w:t xml:space="preserve"> a publicitar proyectos de cualquier naturaleza que precisen financiación y a conectar a sus promotores con los inversores para la suscripción de </w:t>
      </w:r>
      <w:r w:rsidR="004E56B2" w:rsidRPr="0080490E">
        <w:rPr>
          <w:rFonts w:asciiTheme="minorHAnsi" w:hAnsiTheme="minorHAnsi" w:cstheme="minorHAnsi"/>
          <w:szCs w:val="24"/>
        </w:rPr>
        <w:t>los</w:t>
      </w:r>
      <w:r w:rsidR="00684B29" w:rsidRPr="0080490E">
        <w:rPr>
          <w:rFonts w:asciiTheme="minorHAnsi" w:hAnsiTheme="minorHAnsi" w:cstheme="minorHAnsi"/>
          <w:szCs w:val="24"/>
        </w:rPr>
        <w:t xml:space="preserve"> </w:t>
      </w:r>
      <w:r w:rsidR="004E56B2" w:rsidRPr="0080490E">
        <w:rPr>
          <w:rFonts w:asciiTheme="minorHAnsi" w:hAnsiTheme="minorHAnsi" w:cstheme="minorHAnsi"/>
          <w:szCs w:val="24"/>
        </w:rPr>
        <w:t>pertinentes acuerdos de</w:t>
      </w:r>
      <w:r w:rsidR="00684B29" w:rsidRPr="0080490E">
        <w:rPr>
          <w:rFonts w:asciiTheme="minorHAnsi" w:hAnsiTheme="minorHAnsi" w:cstheme="minorHAnsi"/>
          <w:szCs w:val="24"/>
        </w:rPr>
        <w:t xml:space="preserve"> financiación</w:t>
      </w:r>
      <w:r w:rsidR="00D70441" w:rsidRPr="0080490E">
        <w:rPr>
          <w:rStyle w:val="Refdenotaalpie"/>
          <w:rFonts w:asciiTheme="minorHAnsi" w:hAnsiTheme="minorHAnsi" w:cstheme="minorHAnsi"/>
          <w:szCs w:val="24"/>
        </w:rPr>
        <w:footnoteReference w:id="30"/>
      </w:r>
      <w:r w:rsidR="00B105E9" w:rsidRPr="0080490E">
        <w:rPr>
          <w:rFonts w:asciiTheme="minorHAnsi" w:hAnsiTheme="minorHAnsi" w:cstheme="minorHAnsi"/>
          <w:szCs w:val="24"/>
        </w:rPr>
        <w:t xml:space="preserve">. Sin embargo, </w:t>
      </w:r>
      <w:r w:rsidR="00B76EB7" w:rsidRPr="0080490E">
        <w:rPr>
          <w:rFonts w:asciiTheme="minorHAnsi" w:hAnsiTheme="minorHAnsi" w:cstheme="minorHAnsi"/>
          <w:szCs w:val="24"/>
        </w:rPr>
        <w:t xml:space="preserve">la plataforma </w:t>
      </w:r>
      <w:r w:rsidR="00B105E9" w:rsidRPr="0080490E">
        <w:rPr>
          <w:rFonts w:asciiTheme="minorHAnsi" w:hAnsiTheme="minorHAnsi" w:cstheme="minorHAnsi"/>
          <w:szCs w:val="24"/>
        </w:rPr>
        <w:t>no actúa como garante de la solvencia del promotor</w:t>
      </w:r>
      <w:r w:rsidR="005A3911" w:rsidRPr="0080490E">
        <w:rPr>
          <w:rFonts w:asciiTheme="minorHAnsi" w:hAnsiTheme="minorHAnsi" w:cstheme="minorHAnsi"/>
          <w:szCs w:val="24"/>
        </w:rPr>
        <w:t>,</w:t>
      </w:r>
      <w:r w:rsidR="00B105E9" w:rsidRPr="0080490E">
        <w:rPr>
          <w:rFonts w:asciiTheme="minorHAnsi" w:hAnsiTheme="minorHAnsi" w:cstheme="minorHAnsi"/>
          <w:szCs w:val="24"/>
        </w:rPr>
        <w:t xml:space="preserve"> ni de la veracidad o viabilidad económica del proyecto</w:t>
      </w:r>
      <w:r w:rsidR="00684B29" w:rsidRPr="0080490E">
        <w:rPr>
          <w:rFonts w:asciiTheme="minorHAnsi" w:hAnsiTheme="minorHAnsi" w:cstheme="minorHAnsi"/>
          <w:szCs w:val="24"/>
        </w:rPr>
        <w:t>. Este tercer sujeto</w:t>
      </w:r>
      <w:r w:rsidR="005A3911" w:rsidRPr="0080490E">
        <w:rPr>
          <w:rFonts w:asciiTheme="minorHAnsi" w:hAnsiTheme="minorHAnsi" w:cstheme="minorHAnsi"/>
          <w:szCs w:val="24"/>
        </w:rPr>
        <w:t>, en definitiva,</w:t>
      </w:r>
      <w:r w:rsidR="00684B29" w:rsidRPr="0080490E">
        <w:rPr>
          <w:rFonts w:asciiTheme="minorHAnsi" w:hAnsiTheme="minorHAnsi" w:cstheme="minorHAnsi"/>
          <w:szCs w:val="24"/>
        </w:rPr>
        <w:t xml:space="preserve"> «opera, sin asumir ningún riesgo propio, a través de una plataforma digital abierta al público, con objeto de poner en contacto o facilitar el contacto a inversores o prestamistas potenciales con empresas </w:t>
      </w:r>
      <w:r w:rsidR="00684B29" w:rsidRPr="0080490E">
        <w:rPr>
          <w:rFonts w:asciiTheme="minorHAnsi" w:hAnsiTheme="minorHAnsi" w:cstheme="minorHAnsi"/>
          <w:szCs w:val="24"/>
        </w:rPr>
        <w:lastRenderedPageBreak/>
        <w:t xml:space="preserve">que busquen financiación» (Considerando 1 </w:t>
      </w:r>
      <w:r w:rsidR="005A3911" w:rsidRPr="0080490E">
        <w:rPr>
          <w:rFonts w:asciiTheme="minorHAnsi" w:hAnsiTheme="minorHAnsi" w:cstheme="minorHAnsi"/>
          <w:szCs w:val="24"/>
        </w:rPr>
        <w:t xml:space="preserve">Reglamento </w:t>
      </w:r>
      <w:r w:rsidR="00684B29" w:rsidRPr="0080490E">
        <w:rPr>
          <w:rStyle w:val="nfasis"/>
          <w:rFonts w:asciiTheme="minorHAnsi" w:hAnsiTheme="minorHAnsi" w:cstheme="minorHAnsi"/>
          <w:i w:val="0"/>
          <w:iCs w:val="0"/>
          <w:szCs w:val="24"/>
        </w:rPr>
        <w:t>ECSP</w:t>
      </w:r>
      <w:r w:rsidR="00684B29" w:rsidRPr="0080490E">
        <w:rPr>
          <w:rFonts w:asciiTheme="minorHAnsi" w:hAnsiTheme="minorHAnsi" w:cstheme="minorHAnsi"/>
          <w:szCs w:val="24"/>
        </w:rPr>
        <w:t>)</w:t>
      </w:r>
      <w:r w:rsidR="005A3911" w:rsidRPr="0080490E">
        <w:rPr>
          <w:rStyle w:val="Refdenotaalpie"/>
          <w:rFonts w:asciiTheme="minorHAnsi" w:hAnsiTheme="minorHAnsi" w:cstheme="minorHAnsi"/>
          <w:szCs w:val="24"/>
        </w:rPr>
        <w:footnoteReference w:id="31"/>
      </w:r>
      <w:r w:rsidR="00684B29" w:rsidRPr="0080490E">
        <w:rPr>
          <w:rFonts w:asciiTheme="minorHAnsi" w:hAnsiTheme="minorHAnsi" w:cstheme="minorHAnsi"/>
          <w:szCs w:val="24"/>
        </w:rPr>
        <w:t>.</w:t>
      </w:r>
      <w:r w:rsidR="005A3911" w:rsidRPr="0080490E">
        <w:rPr>
          <w:rFonts w:asciiTheme="minorHAnsi" w:hAnsiTheme="minorHAnsi" w:cstheme="minorHAnsi"/>
          <w:szCs w:val="24"/>
        </w:rPr>
        <w:t xml:space="preserve"> </w:t>
      </w:r>
      <w:r w:rsidR="00B105E9" w:rsidRPr="0080490E">
        <w:rPr>
          <w:rFonts w:asciiTheme="minorHAnsi" w:hAnsiTheme="minorHAnsi" w:cstheme="minorHAnsi"/>
          <w:szCs w:val="24"/>
        </w:rPr>
        <w:t xml:space="preserve">Esta función intermediadora </w:t>
      </w:r>
      <w:r w:rsidR="00150E6C" w:rsidRPr="0080490E">
        <w:rPr>
          <w:rFonts w:asciiTheme="minorHAnsi" w:hAnsiTheme="minorHAnsi" w:cstheme="minorHAnsi"/>
          <w:szCs w:val="24"/>
        </w:rPr>
        <w:t>implica</w:t>
      </w:r>
      <w:r w:rsidR="00B105E9" w:rsidRPr="0080490E">
        <w:rPr>
          <w:rFonts w:asciiTheme="minorHAnsi" w:hAnsiTheme="minorHAnsi" w:cstheme="minorHAnsi"/>
          <w:szCs w:val="24"/>
        </w:rPr>
        <w:t xml:space="preserve"> </w:t>
      </w:r>
      <w:r w:rsidR="00150E6C" w:rsidRPr="0080490E">
        <w:rPr>
          <w:rFonts w:asciiTheme="minorHAnsi" w:hAnsiTheme="minorHAnsi" w:cstheme="minorHAnsi"/>
          <w:szCs w:val="24"/>
        </w:rPr>
        <w:t>una</w:t>
      </w:r>
      <w:r w:rsidR="00B105E9" w:rsidRPr="0080490E">
        <w:rPr>
          <w:rFonts w:asciiTheme="minorHAnsi" w:hAnsiTheme="minorHAnsi" w:cstheme="minorHAnsi"/>
          <w:szCs w:val="24"/>
        </w:rPr>
        <w:t xml:space="preserve"> relación trilateral que se desarrolla íntegramente </w:t>
      </w:r>
      <w:proofErr w:type="spellStart"/>
      <w:r w:rsidR="00B105E9" w:rsidRPr="0080490E">
        <w:rPr>
          <w:rFonts w:asciiTheme="minorHAnsi" w:hAnsiTheme="minorHAnsi" w:cstheme="minorHAnsi"/>
          <w:i/>
          <w:iCs/>
          <w:szCs w:val="24"/>
        </w:rPr>
        <w:t>on</w:t>
      </w:r>
      <w:proofErr w:type="spellEnd"/>
      <w:r w:rsidR="00B105E9" w:rsidRPr="0080490E">
        <w:rPr>
          <w:rFonts w:asciiTheme="minorHAnsi" w:hAnsiTheme="minorHAnsi" w:cstheme="minorHAnsi"/>
          <w:i/>
          <w:iCs/>
          <w:szCs w:val="24"/>
        </w:rPr>
        <w:t xml:space="preserve"> line</w:t>
      </w:r>
      <w:r w:rsidR="00B105E9" w:rsidRPr="0080490E">
        <w:rPr>
          <w:rFonts w:asciiTheme="minorHAnsi" w:hAnsiTheme="minorHAnsi" w:cstheme="minorHAnsi"/>
          <w:szCs w:val="24"/>
        </w:rPr>
        <w:t xml:space="preserve"> entre el promotor demandante de financiación, el inversor que ofrece sus recursos económicos a cambio de una rentabilidad y la plataforma digital que los pone en contacto.</w:t>
      </w:r>
    </w:p>
    <w:p w14:paraId="25E429FC" w14:textId="26097BB9" w:rsidR="009D4BF8" w:rsidRPr="0080490E" w:rsidRDefault="00FF21D1"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Por lo tanto, quedan fuera de la regulación</w:t>
      </w:r>
      <w:r w:rsidR="005A3911" w:rsidRPr="0080490E">
        <w:rPr>
          <w:rFonts w:asciiTheme="minorHAnsi" w:hAnsiTheme="minorHAnsi" w:cstheme="minorHAnsi"/>
          <w:szCs w:val="24"/>
        </w:rPr>
        <w:t xml:space="preserve"> del </w:t>
      </w:r>
      <w:r w:rsidR="005A3911" w:rsidRPr="0080490E">
        <w:rPr>
          <w:rFonts w:asciiTheme="minorHAnsi" w:hAnsiTheme="minorHAnsi" w:cstheme="minorHAnsi"/>
          <w:i/>
          <w:szCs w:val="24"/>
        </w:rPr>
        <w:t>crowdfunding</w:t>
      </w:r>
      <w:r w:rsidRPr="0080490E">
        <w:rPr>
          <w:rFonts w:asciiTheme="minorHAnsi" w:hAnsiTheme="minorHAnsi" w:cstheme="minorHAnsi"/>
          <w:szCs w:val="24"/>
        </w:rPr>
        <w:t xml:space="preserve"> aquellos casos en los que la plataforma de captación de financiación actúa como promotor de sus propios proyectos</w:t>
      </w:r>
      <w:r w:rsidR="00684B29" w:rsidRPr="0080490E">
        <w:rPr>
          <w:rFonts w:asciiTheme="minorHAnsi" w:hAnsiTheme="minorHAnsi" w:cstheme="minorHAnsi"/>
          <w:szCs w:val="24"/>
        </w:rPr>
        <w:t>.</w:t>
      </w:r>
      <w:r w:rsidR="005A3911" w:rsidRPr="0080490E">
        <w:rPr>
          <w:rFonts w:asciiTheme="minorHAnsi" w:hAnsiTheme="minorHAnsi" w:cstheme="minorHAnsi"/>
          <w:szCs w:val="24"/>
        </w:rPr>
        <w:t xml:space="preserve"> Ahora bien, e</w:t>
      </w:r>
      <w:r w:rsidR="008A1F7D" w:rsidRPr="0080490E">
        <w:rPr>
          <w:rFonts w:asciiTheme="minorHAnsi" w:hAnsiTheme="minorHAnsi" w:cstheme="minorHAnsi"/>
          <w:szCs w:val="24"/>
        </w:rPr>
        <w:t xml:space="preserve">n la medida en que no hay una prohibición expresa por parte del legislador </w:t>
      </w:r>
      <w:r w:rsidR="00DD4DC9" w:rsidRPr="0080490E">
        <w:rPr>
          <w:rFonts w:asciiTheme="minorHAnsi" w:hAnsiTheme="minorHAnsi" w:cstheme="minorHAnsi"/>
          <w:szCs w:val="24"/>
        </w:rPr>
        <w:t>de</w:t>
      </w:r>
      <w:r w:rsidR="008A1F7D" w:rsidRPr="0080490E">
        <w:rPr>
          <w:rFonts w:asciiTheme="minorHAnsi" w:hAnsiTheme="minorHAnsi" w:cstheme="minorHAnsi"/>
          <w:szCs w:val="24"/>
        </w:rPr>
        <w:t xml:space="preserve"> las operaciones de </w:t>
      </w:r>
      <w:r w:rsidR="008A1F7D" w:rsidRPr="0080490E">
        <w:rPr>
          <w:rFonts w:asciiTheme="minorHAnsi" w:hAnsiTheme="minorHAnsi" w:cstheme="minorHAnsi"/>
          <w:i/>
          <w:szCs w:val="24"/>
        </w:rPr>
        <w:t>crowdfunding</w:t>
      </w:r>
      <w:r w:rsidR="008A1F7D" w:rsidRPr="0080490E">
        <w:rPr>
          <w:rFonts w:asciiTheme="minorHAnsi" w:hAnsiTheme="minorHAnsi" w:cstheme="minorHAnsi"/>
          <w:szCs w:val="24"/>
        </w:rPr>
        <w:t xml:space="preserve"> directo no se puede </w:t>
      </w:r>
      <w:r w:rsidR="00DD4DC9" w:rsidRPr="0080490E">
        <w:rPr>
          <w:rFonts w:asciiTheme="minorHAnsi" w:hAnsiTheme="minorHAnsi" w:cstheme="minorHAnsi"/>
          <w:szCs w:val="24"/>
        </w:rPr>
        <w:t>considerar</w:t>
      </w:r>
      <w:r w:rsidR="008A1F7D" w:rsidRPr="0080490E">
        <w:rPr>
          <w:rFonts w:asciiTheme="minorHAnsi" w:hAnsiTheme="minorHAnsi" w:cstheme="minorHAnsi"/>
          <w:szCs w:val="24"/>
        </w:rPr>
        <w:t xml:space="preserve"> que sea una práctica ilegal. De ahí que </w:t>
      </w:r>
      <w:r w:rsidR="005A3911" w:rsidRPr="0080490E">
        <w:rPr>
          <w:rFonts w:asciiTheme="minorHAnsi" w:hAnsiTheme="minorHAnsi" w:cstheme="minorHAnsi"/>
          <w:smallCaps/>
          <w:szCs w:val="24"/>
        </w:rPr>
        <w:t>Hernández Sainz</w:t>
      </w:r>
      <w:r w:rsidR="005A3911" w:rsidRPr="0080490E">
        <w:rPr>
          <w:rFonts w:asciiTheme="minorHAnsi" w:hAnsiTheme="minorHAnsi" w:cstheme="minorHAnsi"/>
          <w:szCs w:val="24"/>
        </w:rPr>
        <w:t xml:space="preserve"> catalogue </w:t>
      </w:r>
      <w:r w:rsidR="009366BE" w:rsidRPr="0080490E">
        <w:rPr>
          <w:rFonts w:asciiTheme="minorHAnsi" w:hAnsiTheme="minorHAnsi" w:cstheme="minorHAnsi"/>
          <w:szCs w:val="24"/>
        </w:rPr>
        <w:t xml:space="preserve">el </w:t>
      </w:r>
      <w:r w:rsidR="009366BE" w:rsidRPr="0080490E">
        <w:rPr>
          <w:rFonts w:asciiTheme="minorHAnsi" w:hAnsiTheme="minorHAnsi" w:cstheme="minorHAnsi"/>
          <w:i/>
          <w:szCs w:val="24"/>
        </w:rPr>
        <w:t>crowdfunding</w:t>
      </w:r>
      <w:r w:rsidR="009366BE" w:rsidRPr="0080490E">
        <w:rPr>
          <w:rFonts w:asciiTheme="minorHAnsi" w:hAnsiTheme="minorHAnsi" w:cstheme="minorHAnsi"/>
          <w:szCs w:val="24"/>
        </w:rPr>
        <w:t xml:space="preserve"> directo</w:t>
      </w:r>
      <w:r w:rsidR="000A7A98" w:rsidRPr="0080490E">
        <w:rPr>
          <w:rFonts w:asciiTheme="minorHAnsi" w:hAnsiTheme="minorHAnsi" w:cstheme="minorHAnsi"/>
          <w:szCs w:val="24"/>
        </w:rPr>
        <w:t xml:space="preserve"> </w:t>
      </w:r>
      <w:r w:rsidR="008A1F7D" w:rsidRPr="0080490E">
        <w:rPr>
          <w:rFonts w:asciiTheme="minorHAnsi" w:hAnsiTheme="minorHAnsi" w:cstheme="minorHAnsi"/>
          <w:szCs w:val="24"/>
        </w:rPr>
        <w:t xml:space="preserve">como </w:t>
      </w:r>
      <w:r w:rsidR="00C731B9" w:rsidRPr="0080490E">
        <w:rPr>
          <w:rFonts w:asciiTheme="minorHAnsi" w:hAnsiTheme="minorHAnsi" w:cstheme="minorHAnsi"/>
          <w:szCs w:val="24"/>
        </w:rPr>
        <w:t>un</w:t>
      </w:r>
      <w:r w:rsidR="007257C0" w:rsidRPr="0080490E">
        <w:rPr>
          <w:rFonts w:asciiTheme="minorHAnsi" w:hAnsiTheme="minorHAnsi" w:cstheme="minorHAnsi"/>
          <w:szCs w:val="24"/>
        </w:rPr>
        <w:t xml:space="preserve"> </w:t>
      </w:r>
      <w:r w:rsidR="00EF4B0A" w:rsidRPr="0080490E">
        <w:rPr>
          <w:rFonts w:asciiTheme="minorHAnsi" w:hAnsiTheme="minorHAnsi" w:cstheme="minorHAnsi"/>
          <w:szCs w:val="24"/>
        </w:rPr>
        <w:t>formula</w:t>
      </w:r>
      <w:r w:rsidR="007257C0" w:rsidRPr="0080490E">
        <w:rPr>
          <w:rFonts w:asciiTheme="minorHAnsi" w:hAnsiTheme="minorHAnsi" w:cstheme="minorHAnsi"/>
          <w:szCs w:val="24"/>
        </w:rPr>
        <w:t xml:space="preserve"> </w:t>
      </w:r>
      <w:r w:rsidR="008A1F7D" w:rsidRPr="0080490E">
        <w:rPr>
          <w:rFonts w:asciiTheme="minorHAnsi" w:hAnsiTheme="minorHAnsi" w:cstheme="minorHAnsi"/>
          <w:szCs w:val="24"/>
        </w:rPr>
        <w:t>«alegal»</w:t>
      </w:r>
      <w:r w:rsidR="008A1F7D" w:rsidRPr="0080490E">
        <w:rPr>
          <w:rStyle w:val="Refdenotaalpie"/>
          <w:rFonts w:asciiTheme="minorHAnsi" w:hAnsiTheme="minorHAnsi" w:cstheme="minorHAnsi"/>
          <w:szCs w:val="24"/>
        </w:rPr>
        <w:footnoteReference w:id="32"/>
      </w:r>
      <w:r w:rsidR="008A1F7D" w:rsidRPr="0080490E">
        <w:rPr>
          <w:rFonts w:asciiTheme="minorHAnsi" w:hAnsiTheme="minorHAnsi" w:cstheme="minorHAnsi"/>
          <w:szCs w:val="24"/>
        </w:rPr>
        <w:t>.</w:t>
      </w:r>
    </w:p>
    <w:p w14:paraId="37A85A62" w14:textId="69C1A2E1" w:rsidR="00F87F1C" w:rsidRPr="0080490E" w:rsidRDefault="00B01417"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Esta situación de alegalidad no se </w:t>
      </w:r>
      <w:r w:rsidR="00DB216F" w:rsidRPr="0080490E">
        <w:rPr>
          <w:rFonts w:asciiTheme="minorHAnsi" w:hAnsiTheme="minorHAnsi" w:cstheme="minorHAnsi"/>
          <w:szCs w:val="24"/>
        </w:rPr>
        <w:t>limita</w:t>
      </w:r>
      <w:r w:rsidRPr="0080490E">
        <w:rPr>
          <w:rFonts w:asciiTheme="minorHAnsi" w:hAnsiTheme="minorHAnsi" w:cstheme="minorHAnsi"/>
          <w:szCs w:val="24"/>
        </w:rPr>
        <w:t xml:space="preserve"> únicamente a las operaciones de </w:t>
      </w:r>
      <w:r w:rsidRPr="0080490E">
        <w:rPr>
          <w:rFonts w:asciiTheme="minorHAnsi" w:hAnsiTheme="minorHAnsi" w:cstheme="minorHAnsi"/>
          <w:i/>
          <w:szCs w:val="24"/>
        </w:rPr>
        <w:t>crowdfunding</w:t>
      </w:r>
      <w:r w:rsidRPr="0080490E">
        <w:rPr>
          <w:rFonts w:asciiTheme="minorHAnsi" w:hAnsiTheme="minorHAnsi" w:cstheme="minorHAnsi"/>
          <w:szCs w:val="24"/>
        </w:rPr>
        <w:t xml:space="preserve"> directo, sino que </w:t>
      </w:r>
      <w:r w:rsidR="009D4BF8" w:rsidRPr="0080490E">
        <w:rPr>
          <w:rFonts w:asciiTheme="minorHAnsi" w:hAnsiTheme="minorHAnsi" w:cstheme="minorHAnsi"/>
          <w:szCs w:val="24"/>
        </w:rPr>
        <w:t>incluía</w:t>
      </w:r>
      <w:r w:rsidRPr="0080490E">
        <w:rPr>
          <w:rFonts w:asciiTheme="minorHAnsi" w:hAnsiTheme="minorHAnsi" w:cstheme="minorHAnsi"/>
          <w:szCs w:val="24"/>
        </w:rPr>
        <w:t xml:space="preserve"> también algunas de </w:t>
      </w:r>
      <w:r w:rsidRPr="0080490E">
        <w:rPr>
          <w:rFonts w:asciiTheme="minorHAnsi" w:hAnsiTheme="minorHAnsi" w:cstheme="minorHAnsi"/>
          <w:i/>
          <w:szCs w:val="24"/>
        </w:rPr>
        <w:t>crowdfunding</w:t>
      </w:r>
      <w:r w:rsidRPr="0080490E">
        <w:rPr>
          <w:rFonts w:asciiTheme="minorHAnsi" w:hAnsiTheme="minorHAnsi" w:cstheme="minorHAnsi"/>
          <w:szCs w:val="24"/>
        </w:rPr>
        <w:t xml:space="preserve"> indirecto</w:t>
      </w:r>
      <w:r w:rsidR="00EA5548" w:rsidRPr="0080490E">
        <w:rPr>
          <w:rFonts w:asciiTheme="minorHAnsi" w:hAnsiTheme="minorHAnsi" w:cstheme="minorHAnsi"/>
          <w:szCs w:val="24"/>
        </w:rPr>
        <w:t>,</w:t>
      </w:r>
      <w:r w:rsidR="00EF3BF6" w:rsidRPr="0080490E">
        <w:rPr>
          <w:rFonts w:asciiTheme="minorHAnsi" w:hAnsiTheme="minorHAnsi" w:cstheme="minorHAnsi"/>
          <w:szCs w:val="24"/>
        </w:rPr>
        <w:t xml:space="preserve"> toda vez que las operaciones </w:t>
      </w:r>
      <w:r w:rsidR="00DB216F" w:rsidRPr="0080490E">
        <w:rPr>
          <w:rFonts w:asciiTheme="minorHAnsi" w:hAnsiTheme="minorHAnsi" w:cstheme="minorHAnsi"/>
          <w:szCs w:val="24"/>
        </w:rPr>
        <w:t>reguladas</w:t>
      </w:r>
      <w:r w:rsidR="00EF3BF6" w:rsidRPr="0080490E">
        <w:rPr>
          <w:rFonts w:asciiTheme="minorHAnsi" w:hAnsiTheme="minorHAnsi" w:cstheme="minorHAnsi"/>
          <w:szCs w:val="24"/>
        </w:rPr>
        <w:t xml:space="preserve"> no abarca</w:t>
      </w:r>
      <w:r w:rsidR="00611C2D" w:rsidRPr="0080490E">
        <w:rPr>
          <w:rFonts w:asciiTheme="minorHAnsi" w:hAnsiTheme="minorHAnsi" w:cstheme="minorHAnsi"/>
          <w:szCs w:val="24"/>
        </w:rPr>
        <w:t>ba</w:t>
      </w:r>
      <w:r w:rsidR="00EF3BF6" w:rsidRPr="0080490E">
        <w:rPr>
          <w:rFonts w:asciiTheme="minorHAnsi" w:hAnsiTheme="minorHAnsi" w:cstheme="minorHAnsi"/>
          <w:szCs w:val="24"/>
        </w:rPr>
        <w:t>n todas las posibles vías de financiación intermediada.</w:t>
      </w:r>
      <w:r w:rsidR="009E1F7C" w:rsidRPr="0080490E">
        <w:rPr>
          <w:rFonts w:asciiTheme="minorHAnsi" w:hAnsiTheme="minorHAnsi" w:cstheme="minorHAnsi"/>
          <w:szCs w:val="24"/>
        </w:rPr>
        <w:t xml:space="preserve"> </w:t>
      </w:r>
      <w:r w:rsidR="00F8362D" w:rsidRPr="0080490E">
        <w:rPr>
          <w:rFonts w:asciiTheme="minorHAnsi" w:hAnsiTheme="minorHAnsi" w:cstheme="minorHAnsi"/>
          <w:szCs w:val="24"/>
        </w:rPr>
        <w:t xml:space="preserve">El derogado artículo 50 LFFE limitaba las formas de </w:t>
      </w:r>
      <w:r w:rsidR="00D624B9" w:rsidRPr="0080490E">
        <w:rPr>
          <w:rFonts w:asciiTheme="minorHAnsi" w:hAnsiTheme="minorHAnsi" w:cstheme="minorHAnsi"/>
          <w:szCs w:val="24"/>
        </w:rPr>
        <w:t>actuación</w:t>
      </w:r>
      <w:r w:rsidR="00F8362D" w:rsidRPr="0080490E">
        <w:rPr>
          <w:rFonts w:asciiTheme="minorHAnsi" w:hAnsiTheme="minorHAnsi" w:cstheme="minorHAnsi"/>
          <w:szCs w:val="24"/>
        </w:rPr>
        <w:t xml:space="preserve">, de modo que únicamente se admitía la financiación participativa a través de la emisión o suscripción de obligaciones, acciones ordinarias o privilegiadas u otros valores representativos de capital; emisión o suscripción de participaciones de sociedades limitadas o préstamos de cualquier clase, incluidos los participativos. En consecuencia, las </w:t>
      </w:r>
      <w:r w:rsidR="000D0364" w:rsidRPr="0080490E">
        <w:rPr>
          <w:rFonts w:asciiTheme="minorHAnsi" w:hAnsiTheme="minorHAnsi" w:cstheme="minorHAnsi"/>
          <w:szCs w:val="24"/>
        </w:rPr>
        <w:t xml:space="preserve">plataformas </w:t>
      </w:r>
      <w:r w:rsidR="0054793B" w:rsidRPr="0080490E">
        <w:rPr>
          <w:rFonts w:asciiTheme="minorHAnsi" w:hAnsiTheme="minorHAnsi" w:cstheme="minorHAnsi"/>
          <w:szCs w:val="24"/>
        </w:rPr>
        <w:t xml:space="preserve">autorizadas por la CNMV </w:t>
      </w:r>
      <w:r w:rsidR="00F8362D" w:rsidRPr="0080490E">
        <w:rPr>
          <w:rFonts w:asciiTheme="minorHAnsi" w:hAnsiTheme="minorHAnsi" w:cstheme="minorHAnsi"/>
          <w:szCs w:val="24"/>
        </w:rPr>
        <w:t xml:space="preserve">no </w:t>
      </w:r>
      <w:r w:rsidR="00221F23" w:rsidRPr="0080490E">
        <w:rPr>
          <w:rFonts w:asciiTheme="minorHAnsi" w:hAnsiTheme="minorHAnsi" w:cstheme="minorHAnsi"/>
          <w:szCs w:val="24"/>
        </w:rPr>
        <w:t>podían</w:t>
      </w:r>
      <w:r w:rsidR="00F8362D" w:rsidRPr="0080490E">
        <w:rPr>
          <w:rFonts w:asciiTheme="minorHAnsi" w:hAnsiTheme="minorHAnsi" w:cstheme="minorHAnsi"/>
          <w:szCs w:val="24"/>
        </w:rPr>
        <w:t xml:space="preserve"> amparar la captación de </w:t>
      </w:r>
      <w:r w:rsidR="0054793B" w:rsidRPr="0080490E">
        <w:rPr>
          <w:rFonts w:asciiTheme="minorHAnsi" w:hAnsiTheme="minorHAnsi" w:cstheme="minorHAnsi"/>
          <w:szCs w:val="24"/>
        </w:rPr>
        <w:t>fondos</w:t>
      </w:r>
      <w:r w:rsidR="00F8362D" w:rsidRPr="0080490E">
        <w:rPr>
          <w:rFonts w:asciiTheme="minorHAnsi" w:hAnsiTheme="minorHAnsi" w:cstheme="minorHAnsi"/>
          <w:szCs w:val="24"/>
        </w:rPr>
        <w:t xml:space="preserve"> mediante contratos de cuenta en participación</w:t>
      </w:r>
      <w:r w:rsidR="00F8362D" w:rsidRPr="0080490E">
        <w:rPr>
          <w:rStyle w:val="Refdenotaalpie"/>
          <w:rFonts w:asciiTheme="minorHAnsi" w:hAnsiTheme="minorHAnsi" w:cstheme="minorHAnsi"/>
          <w:szCs w:val="24"/>
        </w:rPr>
        <w:footnoteReference w:id="33"/>
      </w:r>
      <w:r w:rsidR="00F8362D" w:rsidRPr="0080490E">
        <w:rPr>
          <w:rFonts w:asciiTheme="minorHAnsi" w:hAnsiTheme="minorHAnsi" w:cstheme="minorHAnsi"/>
          <w:szCs w:val="24"/>
        </w:rPr>
        <w:t>.</w:t>
      </w:r>
      <w:r w:rsidR="00470E6C" w:rsidRPr="0080490E">
        <w:rPr>
          <w:rFonts w:asciiTheme="minorHAnsi" w:hAnsiTheme="minorHAnsi" w:cstheme="minorHAnsi"/>
          <w:szCs w:val="24"/>
        </w:rPr>
        <w:t xml:space="preserve"> </w:t>
      </w:r>
      <w:r w:rsidR="00014501" w:rsidRPr="0080490E">
        <w:rPr>
          <w:rFonts w:asciiTheme="minorHAnsi" w:hAnsiTheme="minorHAnsi" w:cstheme="minorHAnsi"/>
          <w:szCs w:val="24"/>
        </w:rPr>
        <w:t xml:space="preserve">Sin embargo, la propia CNMV </w:t>
      </w:r>
      <w:r w:rsidR="009D4BF8" w:rsidRPr="0080490E">
        <w:rPr>
          <w:rFonts w:asciiTheme="minorHAnsi" w:hAnsiTheme="minorHAnsi" w:cstheme="minorHAnsi"/>
          <w:szCs w:val="24"/>
        </w:rPr>
        <w:t>admitió</w:t>
      </w:r>
      <w:r w:rsidR="00014501" w:rsidRPr="0080490E">
        <w:rPr>
          <w:rFonts w:asciiTheme="minorHAnsi" w:hAnsiTheme="minorHAnsi" w:cstheme="minorHAnsi"/>
          <w:szCs w:val="24"/>
        </w:rPr>
        <w:t xml:space="preserve"> que entidades no registradas como plataformas de financiación participativa </w:t>
      </w:r>
      <w:r w:rsidR="009D4BF8" w:rsidRPr="0080490E">
        <w:rPr>
          <w:rFonts w:asciiTheme="minorHAnsi" w:hAnsiTheme="minorHAnsi" w:cstheme="minorHAnsi"/>
          <w:szCs w:val="24"/>
        </w:rPr>
        <w:t>pudieran</w:t>
      </w:r>
      <w:r w:rsidR="00014501" w:rsidRPr="0080490E">
        <w:rPr>
          <w:rFonts w:asciiTheme="minorHAnsi" w:hAnsiTheme="minorHAnsi" w:cstheme="minorHAnsi"/>
          <w:szCs w:val="24"/>
        </w:rPr>
        <w:t xml:space="preserve"> financiar proyectos a través de instrumentos distintos de los apuntados en el artículo 50 LFFE. No obstante, «al tratarse de plataformas que no están reguladas y que se sitúan fuera del perímetro de supervisión de la CNMV, sus inversores no gozan de las medidas de protección que establece la Ley 5/2015»</w:t>
      </w:r>
      <w:r w:rsidR="00014501" w:rsidRPr="0080490E">
        <w:rPr>
          <w:rStyle w:val="Refdenotaalpie"/>
          <w:rFonts w:asciiTheme="minorHAnsi" w:hAnsiTheme="minorHAnsi" w:cstheme="minorHAnsi"/>
          <w:szCs w:val="24"/>
        </w:rPr>
        <w:footnoteReference w:id="34"/>
      </w:r>
      <w:r w:rsidR="00014501" w:rsidRPr="0080490E">
        <w:rPr>
          <w:rFonts w:asciiTheme="minorHAnsi" w:hAnsiTheme="minorHAnsi" w:cstheme="minorHAnsi"/>
          <w:szCs w:val="24"/>
        </w:rPr>
        <w:t>.</w:t>
      </w:r>
      <w:r w:rsidR="00F87F1C" w:rsidRPr="0080490E">
        <w:rPr>
          <w:rFonts w:asciiTheme="minorHAnsi" w:hAnsiTheme="minorHAnsi" w:cstheme="minorHAnsi"/>
          <w:szCs w:val="24"/>
        </w:rPr>
        <w:t xml:space="preserve"> </w:t>
      </w:r>
      <w:r w:rsidR="00E4785F" w:rsidRPr="0080490E">
        <w:rPr>
          <w:rFonts w:asciiTheme="minorHAnsi" w:hAnsiTheme="minorHAnsi" w:cstheme="minorHAnsi"/>
          <w:szCs w:val="24"/>
        </w:rPr>
        <w:t>Antes de la reforma de 2022, el artículo 48 LFFE establecía una reserva de actividad, de manera que la intermediación entre inversores y promotores solo podía ser realizada por plataformas autorizadas por la CNMV e inscritas en su registro</w:t>
      </w:r>
      <w:r w:rsidR="002C0C58" w:rsidRPr="0080490E">
        <w:rPr>
          <w:rFonts w:asciiTheme="minorHAnsi" w:hAnsiTheme="minorHAnsi" w:cstheme="minorHAnsi"/>
          <w:szCs w:val="24"/>
        </w:rPr>
        <w:t xml:space="preserve">. En la actualidad, el artículo 47 LFFE </w:t>
      </w:r>
      <w:r w:rsidR="00E4785F" w:rsidRPr="0080490E">
        <w:rPr>
          <w:rFonts w:asciiTheme="minorHAnsi" w:hAnsiTheme="minorHAnsi" w:cstheme="minorHAnsi"/>
          <w:szCs w:val="24"/>
        </w:rPr>
        <w:t>mantiene esta reserva</w:t>
      </w:r>
      <w:r w:rsidR="002C0C58" w:rsidRPr="0080490E">
        <w:rPr>
          <w:rFonts w:asciiTheme="minorHAnsi" w:hAnsiTheme="minorHAnsi" w:cstheme="minorHAnsi"/>
          <w:szCs w:val="24"/>
        </w:rPr>
        <w:t xml:space="preserve"> al apuntar que «toda </w:t>
      </w:r>
      <w:r w:rsidR="002C0C58" w:rsidRPr="0080490E">
        <w:rPr>
          <w:rFonts w:asciiTheme="minorHAnsi" w:hAnsiTheme="minorHAnsi" w:cstheme="minorHAnsi"/>
          <w:szCs w:val="24"/>
        </w:rPr>
        <w:lastRenderedPageBreak/>
        <w:t>entidad que tenga intención de prestar servicios de financiación participativa (…) solicitará a la CNMV autorización para operar como proveedor de servicios de financiación participativa».</w:t>
      </w:r>
    </w:p>
    <w:p w14:paraId="29E9A478" w14:textId="7BFB4DA8" w:rsidR="00C2153A" w:rsidRPr="0080490E" w:rsidRDefault="00C2153A"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Por su parte, el Reglamento </w:t>
      </w:r>
      <w:r w:rsidRPr="0080490E">
        <w:rPr>
          <w:rStyle w:val="nfasis"/>
          <w:rFonts w:asciiTheme="minorHAnsi" w:hAnsiTheme="minorHAnsi" w:cstheme="minorHAnsi"/>
          <w:i w:val="0"/>
          <w:iCs w:val="0"/>
          <w:szCs w:val="24"/>
        </w:rPr>
        <w:t>ECSP</w:t>
      </w:r>
      <w:r w:rsidRPr="0080490E">
        <w:rPr>
          <w:rFonts w:asciiTheme="minorHAnsi" w:hAnsiTheme="minorHAnsi" w:cstheme="minorHAnsi"/>
          <w:szCs w:val="24"/>
        </w:rPr>
        <w:t xml:space="preserve"> también limita </w:t>
      </w:r>
      <w:r w:rsidR="00917E97" w:rsidRPr="0080490E">
        <w:rPr>
          <w:rFonts w:asciiTheme="minorHAnsi" w:hAnsiTheme="minorHAnsi" w:cstheme="minorHAnsi"/>
          <w:szCs w:val="24"/>
        </w:rPr>
        <w:t xml:space="preserve">los </w:t>
      </w:r>
      <w:r w:rsidR="005C393B" w:rsidRPr="0080490E">
        <w:rPr>
          <w:rFonts w:asciiTheme="minorHAnsi" w:hAnsiTheme="minorHAnsi" w:cstheme="minorHAnsi"/>
          <w:szCs w:val="24"/>
        </w:rPr>
        <w:t>servicios de financiación participativa</w:t>
      </w:r>
      <w:r w:rsidRPr="0080490E">
        <w:rPr>
          <w:rFonts w:asciiTheme="minorHAnsi" w:hAnsiTheme="minorHAnsi" w:cstheme="minorHAnsi"/>
          <w:szCs w:val="24"/>
        </w:rPr>
        <w:t xml:space="preserve">. En concreto, los circunscribe a la conexión de inversores y promotores para intermediar en la celebración de </w:t>
      </w:r>
      <w:r w:rsidR="00E4785F" w:rsidRPr="0080490E">
        <w:rPr>
          <w:rFonts w:asciiTheme="minorHAnsi" w:hAnsiTheme="minorHAnsi" w:cstheme="minorHAnsi"/>
          <w:szCs w:val="24"/>
        </w:rPr>
        <w:t xml:space="preserve">contratos de </w:t>
      </w:r>
      <w:r w:rsidRPr="0080490E">
        <w:rPr>
          <w:rFonts w:asciiTheme="minorHAnsi" w:hAnsiTheme="minorHAnsi" w:cstheme="minorHAnsi"/>
          <w:szCs w:val="24"/>
        </w:rPr>
        <w:t xml:space="preserve">préstamo o </w:t>
      </w:r>
      <w:r w:rsidR="00507F13" w:rsidRPr="0080490E">
        <w:rPr>
          <w:rFonts w:asciiTheme="minorHAnsi" w:hAnsiTheme="minorHAnsi" w:cstheme="minorHAnsi"/>
          <w:szCs w:val="24"/>
        </w:rPr>
        <w:t xml:space="preserve">en </w:t>
      </w:r>
      <w:r w:rsidRPr="0080490E">
        <w:rPr>
          <w:rFonts w:asciiTheme="minorHAnsi" w:hAnsiTheme="minorHAnsi" w:cstheme="minorHAnsi"/>
          <w:szCs w:val="24"/>
        </w:rPr>
        <w:t xml:space="preserve">la colocación de valores </w:t>
      </w:r>
      <w:r w:rsidR="0033303F" w:rsidRPr="0080490E">
        <w:rPr>
          <w:rFonts w:asciiTheme="minorHAnsi" w:hAnsiTheme="minorHAnsi" w:cstheme="minorHAnsi"/>
          <w:szCs w:val="24"/>
        </w:rPr>
        <w:t>negociable</w:t>
      </w:r>
      <w:r w:rsidRPr="0080490E">
        <w:rPr>
          <w:rFonts w:asciiTheme="minorHAnsi" w:hAnsiTheme="minorHAnsi" w:cstheme="minorHAnsi"/>
          <w:szCs w:val="24"/>
        </w:rPr>
        <w:t xml:space="preserve">s e instrumentos derivados emitidos por los </w:t>
      </w:r>
      <w:r w:rsidR="00EA5548" w:rsidRPr="0080490E">
        <w:rPr>
          <w:rFonts w:asciiTheme="minorHAnsi" w:hAnsiTheme="minorHAnsi" w:cstheme="minorHAnsi"/>
          <w:szCs w:val="24"/>
        </w:rPr>
        <w:t xml:space="preserve">promotores </w:t>
      </w:r>
      <w:r w:rsidRPr="0080490E">
        <w:rPr>
          <w:rFonts w:asciiTheme="minorHAnsi" w:hAnsiTheme="minorHAnsi" w:cstheme="minorHAnsi"/>
          <w:szCs w:val="24"/>
        </w:rPr>
        <w:t>(</w:t>
      </w:r>
      <w:r w:rsidR="00430C68" w:rsidRPr="0080490E">
        <w:rPr>
          <w:rFonts w:asciiTheme="minorHAnsi" w:hAnsiTheme="minorHAnsi" w:cstheme="minorHAnsi"/>
          <w:szCs w:val="24"/>
        </w:rPr>
        <w:t>art.</w:t>
      </w:r>
      <w:r w:rsidRPr="0080490E">
        <w:rPr>
          <w:rFonts w:asciiTheme="minorHAnsi" w:hAnsiTheme="minorHAnsi" w:cstheme="minorHAnsi"/>
          <w:szCs w:val="24"/>
        </w:rPr>
        <w:t xml:space="preserve"> 2.1.a) </w:t>
      </w:r>
      <w:r w:rsidR="00301156" w:rsidRPr="0080490E">
        <w:rPr>
          <w:rFonts w:asciiTheme="minorHAnsi" w:hAnsiTheme="minorHAnsi" w:cstheme="minorHAnsi"/>
          <w:szCs w:val="24"/>
        </w:rPr>
        <w:t xml:space="preserve">Reglamento </w:t>
      </w:r>
      <w:r w:rsidR="00301156" w:rsidRPr="0080490E">
        <w:rPr>
          <w:rStyle w:val="nfasis"/>
          <w:rFonts w:asciiTheme="minorHAnsi" w:hAnsiTheme="minorHAnsi" w:cstheme="minorHAnsi"/>
          <w:i w:val="0"/>
          <w:iCs w:val="0"/>
          <w:szCs w:val="24"/>
        </w:rPr>
        <w:t>ECSP</w:t>
      </w:r>
      <w:r w:rsidRPr="0080490E">
        <w:rPr>
          <w:rFonts w:asciiTheme="minorHAnsi" w:hAnsiTheme="minorHAnsi" w:cstheme="minorHAnsi"/>
          <w:szCs w:val="24"/>
        </w:rPr>
        <w:t>).</w:t>
      </w:r>
    </w:p>
    <w:p w14:paraId="2B5C2F97" w14:textId="67275690" w:rsidR="00F87F1C" w:rsidRPr="0080490E" w:rsidRDefault="00D0219C"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Sin embargo, no </w:t>
      </w:r>
      <w:r w:rsidR="00F87F1C" w:rsidRPr="0080490E">
        <w:rPr>
          <w:rFonts w:asciiTheme="minorHAnsi" w:hAnsiTheme="minorHAnsi" w:cstheme="minorHAnsi"/>
          <w:szCs w:val="24"/>
        </w:rPr>
        <w:t xml:space="preserve">hay </w:t>
      </w:r>
      <w:r w:rsidR="00F940B6" w:rsidRPr="0080490E">
        <w:rPr>
          <w:rFonts w:asciiTheme="minorHAnsi" w:hAnsiTheme="minorHAnsi" w:cstheme="minorHAnsi"/>
          <w:szCs w:val="24"/>
        </w:rPr>
        <w:t xml:space="preserve">reserva de actividad ni </w:t>
      </w:r>
      <w:r w:rsidRPr="0080490E">
        <w:rPr>
          <w:rFonts w:asciiTheme="minorHAnsi" w:hAnsiTheme="minorHAnsi" w:cstheme="minorHAnsi"/>
          <w:szCs w:val="24"/>
        </w:rPr>
        <w:t xml:space="preserve">incumplimiento </w:t>
      </w:r>
      <w:r w:rsidR="00F940B6" w:rsidRPr="0080490E">
        <w:rPr>
          <w:rFonts w:asciiTheme="minorHAnsi" w:hAnsiTheme="minorHAnsi" w:cstheme="minorHAnsi"/>
          <w:szCs w:val="24"/>
        </w:rPr>
        <w:t>de la normativa</w:t>
      </w:r>
      <w:r w:rsidRPr="0080490E">
        <w:rPr>
          <w:rFonts w:asciiTheme="minorHAnsi" w:hAnsiTheme="minorHAnsi" w:cstheme="minorHAnsi"/>
          <w:szCs w:val="24"/>
        </w:rPr>
        <w:t xml:space="preserve"> </w:t>
      </w:r>
      <w:r w:rsidR="00F940B6" w:rsidRPr="0080490E">
        <w:rPr>
          <w:rFonts w:asciiTheme="minorHAnsi" w:hAnsiTheme="minorHAnsi" w:cstheme="minorHAnsi"/>
          <w:szCs w:val="24"/>
        </w:rPr>
        <w:t>cuando</w:t>
      </w:r>
      <w:r w:rsidRPr="0080490E">
        <w:rPr>
          <w:rFonts w:asciiTheme="minorHAnsi" w:hAnsiTheme="minorHAnsi" w:cstheme="minorHAnsi"/>
          <w:szCs w:val="24"/>
        </w:rPr>
        <w:t xml:space="preserve"> </w:t>
      </w:r>
      <w:r w:rsidR="00B16222" w:rsidRPr="0080490E">
        <w:rPr>
          <w:rFonts w:asciiTheme="minorHAnsi" w:hAnsiTheme="minorHAnsi" w:cstheme="minorHAnsi"/>
          <w:szCs w:val="24"/>
        </w:rPr>
        <w:t xml:space="preserve">la plataforma </w:t>
      </w:r>
      <w:r w:rsidRPr="0080490E">
        <w:rPr>
          <w:rFonts w:asciiTheme="minorHAnsi" w:hAnsiTheme="minorHAnsi" w:cstheme="minorHAnsi"/>
          <w:szCs w:val="24"/>
        </w:rPr>
        <w:t xml:space="preserve">no desarrolla una función de </w:t>
      </w:r>
      <w:r w:rsidR="00F66D9A" w:rsidRPr="0080490E">
        <w:rPr>
          <w:rFonts w:asciiTheme="minorHAnsi" w:hAnsiTheme="minorHAnsi" w:cstheme="minorHAnsi"/>
          <w:szCs w:val="24"/>
        </w:rPr>
        <w:t>intermediación</w:t>
      </w:r>
      <w:r w:rsidRPr="0080490E">
        <w:rPr>
          <w:rFonts w:asciiTheme="minorHAnsi" w:hAnsiTheme="minorHAnsi" w:cstheme="minorHAnsi"/>
          <w:szCs w:val="24"/>
        </w:rPr>
        <w:t xml:space="preserve"> sino </w:t>
      </w:r>
      <w:r w:rsidR="00E91AF4" w:rsidRPr="0080490E">
        <w:rPr>
          <w:rFonts w:asciiTheme="minorHAnsi" w:hAnsiTheme="minorHAnsi" w:cstheme="minorHAnsi"/>
          <w:szCs w:val="24"/>
        </w:rPr>
        <w:t xml:space="preserve">que </w:t>
      </w:r>
      <w:r w:rsidRPr="0080490E">
        <w:rPr>
          <w:rFonts w:asciiTheme="minorHAnsi" w:hAnsiTheme="minorHAnsi" w:cstheme="minorHAnsi"/>
          <w:szCs w:val="24"/>
        </w:rPr>
        <w:t xml:space="preserve">capta </w:t>
      </w:r>
      <w:r w:rsidR="00E91AF4" w:rsidRPr="0080490E">
        <w:rPr>
          <w:rFonts w:asciiTheme="minorHAnsi" w:hAnsiTheme="minorHAnsi" w:cstheme="minorHAnsi"/>
          <w:szCs w:val="24"/>
        </w:rPr>
        <w:t xml:space="preserve">directamente </w:t>
      </w:r>
      <w:r w:rsidRPr="0080490E">
        <w:rPr>
          <w:rFonts w:asciiTheme="minorHAnsi" w:hAnsiTheme="minorHAnsi" w:cstheme="minorHAnsi"/>
          <w:szCs w:val="24"/>
        </w:rPr>
        <w:t xml:space="preserve">recursos para el desarrollo de </w:t>
      </w:r>
      <w:r w:rsidR="00301156" w:rsidRPr="0080490E">
        <w:rPr>
          <w:rFonts w:asciiTheme="minorHAnsi" w:hAnsiTheme="minorHAnsi" w:cstheme="minorHAnsi"/>
          <w:szCs w:val="24"/>
        </w:rPr>
        <w:t xml:space="preserve">proyectos </w:t>
      </w:r>
      <w:r w:rsidR="00FF0A07" w:rsidRPr="0080490E">
        <w:rPr>
          <w:rFonts w:asciiTheme="minorHAnsi" w:hAnsiTheme="minorHAnsi" w:cstheme="minorHAnsi"/>
          <w:szCs w:val="24"/>
        </w:rPr>
        <w:t>propios</w:t>
      </w:r>
      <w:r w:rsidRPr="0080490E">
        <w:rPr>
          <w:rFonts w:asciiTheme="minorHAnsi" w:hAnsiTheme="minorHAnsi" w:cstheme="minorHAnsi"/>
          <w:szCs w:val="24"/>
        </w:rPr>
        <w:t>.</w:t>
      </w:r>
      <w:r w:rsidR="00C2153A" w:rsidRPr="0080490E">
        <w:rPr>
          <w:rFonts w:asciiTheme="minorHAnsi" w:hAnsiTheme="minorHAnsi" w:cstheme="minorHAnsi"/>
          <w:szCs w:val="24"/>
        </w:rPr>
        <w:t xml:space="preserve"> Es decir, no es necesario comunicar, autorizar o registrar en la CNMV las entidades que realicen actividades de </w:t>
      </w:r>
      <w:r w:rsidR="00C2153A" w:rsidRPr="0080490E">
        <w:rPr>
          <w:rFonts w:asciiTheme="minorHAnsi" w:hAnsiTheme="minorHAnsi" w:cstheme="minorHAnsi"/>
          <w:i/>
          <w:iCs/>
          <w:szCs w:val="24"/>
        </w:rPr>
        <w:t>crowdfunding</w:t>
      </w:r>
      <w:r w:rsidR="00C2153A" w:rsidRPr="0080490E">
        <w:rPr>
          <w:rFonts w:asciiTheme="minorHAnsi" w:hAnsiTheme="minorHAnsi" w:cstheme="minorHAnsi"/>
          <w:szCs w:val="24"/>
        </w:rPr>
        <w:t xml:space="preserve"> directo.</w:t>
      </w:r>
      <w:r w:rsidR="00F87F1C" w:rsidRPr="0080490E">
        <w:rPr>
          <w:rFonts w:asciiTheme="minorHAnsi" w:hAnsiTheme="minorHAnsi" w:cstheme="minorHAnsi"/>
          <w:szCs w:val="24"/>
        </w:rPr>
        <w:t xml:space="preserve"> En definitiva, la regulación normativa del </w:t>
      </w:r>
      <w:r w:rsidR="00F87F1C" w:rsidRPr="0080490E">
        <w:rPr>
          <w:rFonts w:asciiTheme="minorHAnsi" w:hAnsiTheme="minorHAnsi" w:cstheme="minorHAnsi"/>
          <w:i/>
          <w:iCs/>
          <w:szCs w:val="24"/>
        </w:rPr>
        <w:t>crowdfunding</w:t>
      </w:r>
      <w:r w:rsidR="00F87F1C" w:rsidRPr="0080490E">
        <w:rPr>
          <w:rFonts w:asciiTheme="minorHAnsi" w:hAnsiTheme="minorHAnsi" w:cstheme="minorHAnsi"/>
          <w:szCs w:val="24"/>
        </w:rPr>
        <w:t xml:space="preserve"> se puede calificar como parcial, pues regula ciertas operaciones de financiación participativa pero no agota el concepto de </w:t>
      </w:r>
      <w:r w:rsidR="00F87F1C" w:rsidRPr="0080490E">
        <w:rPr>
          <w:rFonts w:asciiTheme="minorHAnsi" w:hAnsiTheme="minorHAnsi" w:cstheme="minorHAnsi"/>
          <w:i/>
          <w:iCs/>
          <w:szCs w:val="24"/>
        </w:rPr>
        <w:t>crowdfunding</w:t>
      </w:r>
      <w:r w:rsidR="00F87F1C" w:rsidRPr="0080490E">
        <w:rPr>
          <w:rFonts w:asciiTheme="minorHAnsi" w:hAnsiTheme="minorHAnsi" w:cstheme="minorHAnsi"/>
          <w:szCs w:val="24"/>
        </w:rPr>
        <w:t xml:space="preserve"> que puede seguir realizándose al margen de la legislación</w:t>
      </w:r>
      <w:r w:rsidR="00F87F1C" w:rsidRPr="0080490E">
        <w:rPr>
          <w:rStyle w:val="Refdenotaalpie"/>
          <w:rFonts w:asciiTheme="minorHAnsi" w:hAnsiTheme="minorHAnsi" w:cstheme="minorHAnsi"/>
          <w:szCs w:val="24"/>
        </w:rPr>
        <w:footnoteReference w:id="35"/>
      </w:r>
      <w:r w:rsidR="00F87F1C" w:rsidRPr="0080490E">
        <w:rPr>
          <w:rFonts w:asciiTheme="minorHAnsi" w:hAnsiTheme="minorHAnsi" w:cstheme="minorHAnsi"/>
          <w:szCs w:val="24"/>
        </w:rPr>
        <w:t>.</w:t>
      </w:r>
    </w:p>
    <w:p w14:paraId="5318E20F" w14:textId="3E4534AE" w:rsidR="00193093" w:rsidRPr="0080490E" w:rsidRDefault="00C630E9"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La financiación participativa directa </w:t>
      </w:r>
      <w:r w:rsidR="00D01ECA" w:rsidRPr="0080490E">
        <w:rPr>
          <w:rFonts w:asciiTheme="minorHAnsi" w:hAnsiTheme="minorHAnsi" w:cstheme="minorHAnsi"/>
          <w:szCs w:val="24"/>
        </w:rPr>
        <w:t xml:space="preserve">como la del modelo expuesto </w:t>
      </w:r>
      <w:r w:rsidRPr="0080490E">
        <w:rPr>
          <w:rFonts w:asciiTheme="minorHAnsi" w:hAnsiTheme="minorHAnsi" w:cstheme="minorHAnsi"/>
          <w:szCs w:val="24"/>
        </w:rPr>
        <w:t>se mueve, por tanto, en una suerte de limbo jurídico. No se trata de una actividad ilícita</w:t>
      </w:r>
      <w:r w:rsidR="00B718A6" w:rsidRPr="0080490E">
        <w:rPr>
          <w:rFonts w:asciiTheme="minorHAnsi" w:hAnsiTheme="minorHAnsi" w:cstheme="minorHAnsi"/>
          <w:szCs w:val="24"/>
        </w:rPr>
        <w:t>, prohibida</w:t>
      </w:r>
      <w:r w:rsidRPr="0080490E">
        <w:rPr>
          <w:rFonts w:asciiTheme="minorHAnsi" w:hAnsiTheme="minorHAnsi" w:cstheme="minorHAnsi"/>
          <w:szCs w:val="24"/>
        </w:rPr>
        <w:t xml:space="preserve"> o </w:t>
      </w:r>
      <w:r w:rsidR="004D52BC" w:rsidRPr="0080490E">
        <w:rPr>
          <w:rFonts w:asciiTheme="minorHAnsi" w:hAnsiTheme="minorHAnsi" w:cstheme="minorHAnsi"/>
          <w:szCs w:val="24"/>
        </w:rPr>
        <w:t>de carácter nulo</w:t>
      </w:r>
      <w:r w:rsidRPr="0080490E">
        <w:rPr>
          <w:rFonts w:asciiTheme="minorHAnsi" w:hAnsiTheme="minorHAnsi" w:cstheme="minorHAnsi"/>
          <w:szCs w:val="24"/>
        </w:rPr>
        <w:t xml:space="preserve"> sino de un proceso de inversión no controlado </w:t>
      </w:r>
      <w:r w:rsidR="00157350" w:rsidRPr="0080490E">
        <w:rPr>
          <w:rFonts w:asciiTheme="minorHAnsi" w:hAnsiTheme="minorHAnsi" w:cstheme="minorHAnsi"/>
          <w:szCs w:val="24"/>
        </w:rPr>
        <w:t xml:space="preserve">por alguna autoridad </w:t>
      </w:r>
      <w:r w:rsidR="00104304" w:rsidRPr="0080490E">
        <w:rPr>
          <w:rFonts w:asciiTheme="minorHAnsi" w:hAnsiTheme="minorHAnsi" w:cstheme="minorHAnsi"/>
          <w:szCs w:val="24"/>
        </w:rPr>
        <w:t>o supervisor</w:t>
      </w:r>
      <w:r w:rsidR="00193093" w:rsidRPr="0080490E">
        <w:rPr>
          <w:rFonts w:asciiTheme="minorHAnsi" w:hAnsiTheme="minorHAnsi" w:cstheme="minorHAnsi"/>
          <w:szCs w:val="24"/>
        </w:rPr>
        <w:t>.</w:t>
      </w:r>
      <w:r w:rsidR="008648AA" w:rsidRPr="0080490E">
        <w:rPr>
          <w:rFonts w:asciiTheme="minorHAnsi" w:hAnsiTheme="minorHAnsi" w:cstheme="minorHAnsi"/>
          <w:szCs w:val="24"/>
        </w:rPr>
        <w:t xml:space="preserve"> </w:t>
      </w:r>
      <w:r w:rsidR="00094C7C" w:rsidRPr="0080490E">
        <w:rPr>
          <w:rFonts w:asciiTheme="minorHAnsi" w:hAnsiTheme="minorHAnsi" w:cstheme="minorHAnsi"/>
          <w:szCs w:val="24"/>
        </w:rPr>
        <w:t>Ahora bien</w:t>
      </w:r>
      <w:r w:rsidR="00D846DC" w:rsidRPr="0080490E">
        <w:rPr>
          <w:rFonts w:asciiTheme="minorHAnsi" w:hAnsiTheme="minorHAnsi" w:cstheme="minorHAnsi"/>
          <w:szCs w:val="24"/>
        </w:rPr>
        <w:t xml:space="preserve">, </w:t>
      </w:r>
      <w:r w:rsidR="00D846DC" w:rsidRPr="0080490E">
        <w:rPr>
          <w:rFonts w:asciiTheme="minorHAnsi" w:hAnsiTheme="minorHAnsi" w:cstheme="minorHAnsi"/>
          <w:i/>
          <w:szCs w:val="24"/>
        </w:rPr>
        <w:t>crowdfunding</w:t>
      </w:r>
      <w:r w:rsidR="00D846DC" w:rsidRPr="0080490E">
        <w:rPr>
          <w:rFonts w:asciiTheme="minorHAnsi" w:hAnsiTheme="minorHAnsi" w:cstheme="minorHAnsi"/>
          <w:szCs w:val="24"/>
        </w:rPr>
        <w:t xml:space="preserve"> y tokenización se mueven en </w:t>
      </w:r>
      <w:r w:rsidR="00154BCE" w:rsidRPr="0080490E">
        <w:rPr>
          <w:rFonts w:asciiTheme="minorHAnsi" w:hAnsiTheme="minorHAnsi" w:cstheme="minorHAnsi"/>
          <w:szCs w:val="24"/>
        </w:rPr>
        <w:t>círculos</w:t>
      </w:r>
      <w:r w:rsidR="00D846DC" w:rsidRPr="0080490E">
        <w:rPr>
          <w:rFonts w:asciiTheme="minorHAnsi" w:hAnsiTheme="minorHAnsi" w:cstheme="minorHAnsi"/>
          <w:szCs w:val="24"/>
        </w:rPr>
        <w:t xml:space="preserve"> secantes</w:t>
      </w:r>
      <w:r w:rsidR="00154BCE" w:rsidRPr="0080490E">
        <w:rPr>
          <w:rFonts w:asciiTheme="minorHAnsi" w:hAnsiTheme="minorHAnsi" w:cstheme="minorHAnsi"/>
          <w:szCs w:val="24"/>
        </w:rPr>
        <w:t xml:space="preserve"> pues ambos fenómenos pueden existir de modo conjunto o independiente.</w:t>
      </w:r>
      <w:r w:rsidR="00446BB0" w:rsidRPr="0080490E">
        <w:rPr>
          <w:rFonts w:asciiTheme="minorHAnsi" w:hAnsiTheme="minorHAnsi" w:cstheme="minorHAnsi"/>
          <w:szCs w:val="24"/>
        </w:rPr>
        <w:t xml:space="preserve"> </w:t>
      </w:r>
      <w:r w:rsidR="00094C7C" w:rsidRPr="0080490E">
        <w:rPr>
          <w:rFonts w:asciiTheme="minorHAnsi" w:hAnsiTheme="minorHAnsi" w:cstheme="minorHAnsi"/>
          <w:szCs w:val="24"/>
        </w:rPr>
        <w:t xml:space="preserve">Por ello, las plataformas de financiación participativa autorizadas por la CNMV pueden hacer uso también de la tokenización. </w:t>
      </w:r>
      <w:r w:rsidR="001A6FC4" w:rsidRPr="0080490E">
        <w:rPr>
          <w:rFonts w:asciiTheme="minorHAnsi" w:hAnsiTheme="minorHAnsi" w:cstheme="minorHAnsi"/>
          <w:szCs w:val="24"/>
        </w:rPr>
        <w:t>El Considera</w:t>
      </w:r>
      <w:r w:rsidR="000853A3" w:rsidRPr="0080490E">
        <w:rPr>
          <w:rFonts w:asciiTheme="minorHAnsi" w:hAnsiTheme="minorHAnsi" w:cstheme="minorHAnsi"/>
          <w:szCs w:val="24"/>
        </w:rPr>
        <w:t>n</w:t>
      </w:r>
      <w:r w:rsidR="001A6FC4" w:rsidRPr="0080490E">
        <w:rPr>
          <w:rFonts w:asciiTheme="minorHAnsi" w:hAnsiTheme="minorHAnsi" w:cstheme="minorHAnsi"/>
          <w:szCs w:val="24"/>
        </w:rPr>
        <w:t xml:space="preserve">do 15 </w:t>
      </w:r>
      <w:r w:rsidR="00B5139A" w:rsidRPr="0080490E">
        <w:rPr>
          <w:rFonts w:asciiTheme="minorHAnsi" w:hAnsiTheme="minorHAnsi" w:cstheme="minorHAnsi"/>
          <w:szCs w:val="24"/>
        </w:rPr>
        <w:t xml:space="preserve">del Reglamento </w:t>
      </w:r>
      <w:r w:rsidR="00024611" w:rsidRPr="0080490E">
        <w:rPr>
          <w:rStyle w:val="nfasis"/>
          <w:rFonts w:asciiTheme="minorHAnsi" w:hAnsiTheme="minorHAnsi" w:cstheme="minorHAnsi"/>
          <w:i w:val="0"/>
          <w:iCs w:val="0"/>
          <w:szCs w:val="24"/>
        </w:rPr>
        <w:t>ECSP</w:t>
      </w:r>
      <w:r w:rsidR="00024611" w:rsidRPr="0080490E">
        <w:rPr>
          <w:rFonts w:asciiTheme="minorHAnsi" w:hAnsiTheme="minorHAnsi" w:cstheme="minorHAnsi"/>
          <w:szCs w:val="24"/>
        </w:rPr>
        <w:t xml:space="preserve"> </w:t>
      </w:r>
      <w:r w:rsidR="001A6FC4" w:rsidRPr="0080490E">
        <w:rPr>
          <w:rFonts w:asciiTheme="minorHAnsi" w:hAnsiTheme="minorHAnsi" w:cstheme="minorHAnsi"/>
          <w:szCs w:val="24"/>
        </w:rPr>
        <w:t>pretende marcar una distinción</w:t>
      </w:r>
      <w:r w:rsidR="00094C7C" w:rsidRPr="0080490E">
        <w:rPr>
          <w:rFonts w:asciiTheme="minorHAnsi" w:hAnsiTheme="minorHAnsi" w:cstheme="minorHAnsi"/>
          <w:szCs w:val="24"/>
        </w:rPr>
        <w:t xml:space="preserve"> </w:t>
      </w:r>
      <w:r w:rsidR="00E538A9" w:rsidRPr="0080490E">
        <w:rPr>
          <w:rFonts w:asciiTheme="minorHAnsi" w:hAnsiTheme="minorHAnsi" w:cstheme="minorHAnsi"/>
          <w:szCs w:val="24"/>
        </w:rPr>
        <w:t xml:space="preserve">entre </w:t>
      </w:r>
      <w:r w:rsidR="00E538A9" w:rsidRPr="0080490E">
        <w:rPr>
          <w:rFonts w:asciiTheme="minorHAnsi" w:hAnsiTheme="minorHAnsi" w:cstheme="minorHAnsi"/>
          <w:i/>
          <w:szCs w:val="24"/>
        </w:rPr>
        <w:t>crowdfunding</w:t>
      </w:r>
      <w:r w:rsidR="00E538A9" w:rsidRPr="0080490E">
        <w:rPr>
          <w:rFonts w:asciiTheme="minorHAnsi" w:hAnsiTheme="minorHAnsi" w:cstheme="minorHAnsi"/>
          <w:szCs w:val="24"/>
        </w:rPr>
        <w:t xml:space="preserve"> y tokenización </w:t>
      </w:r>
      <w:r w:rsidR="001A6FC4" w:rsidRPr="0080490E">
        <w:rPr>
          <w:rFonts w:asciiTheme="minorHAnsi" w:hAnsiTheme="minorHAnsi" w:cstheme="minorHAnsi"/>
          <w:szCs w:val="24"/>
        </w:rPr>
        <w:t>al señala</w:t>
      </w:r>
      <w:r w:rsidR="009E6BDC" w:rsidRPr="0080490E">
        <w:rPr>
          <w:rFonts w:asciiTheme="minorHAnsi" w:hAnsiTheme="minorHAnsi" w:cstheme="minorHAnsi"/>
          <w:szCs w:val="24"/>
        </w:rPr>
        <w:t>r</w:t>
      </w:r>
      <w:r w:rsidR="001A6FC4" w:rsidRPr="0080490E">
        <w:rPr>
          <w:rFonts w:asciiTheme="minorHAnsi" w:hAnsiTheme="minorHAnsi" w:cstheme="minorHAnsi"/>
          <w:szCs w:val="24"/>
        </w:rPr>
        <w:t xml:space="preserve"> que «aunque la oferta de criptoactivos ofrece el potencial de financiar […], sus características difieren considerablemente de los servicios de financiación participativa regulados en el presente Reglamento». Indudablemente se trata de dos figuras distintas y resulta patente que los criptoactivos no son objeto de regula</w:t>
      </w:r>
      <w:r w:rsidR="009E6BDC" w:rsidRPr="0080490E">
        <w:rPr>
          <w:rFonts w:asciiTheme="minorHAnsi" w:hAnsiTheme="minorHAnsi" w:cstheme="minorHAnsi"/>
          <w:szCs w:val="24"/>
        </w:rPr>
        <w:t>ció</w:t>
      </w:r>
      <w:r w:rsidR="001A6FC4" w:rsidRPr="0080490E">
        <w:rPr>
          <w:rFonts w:asciiTheme="minorHAnsi" w:hAnsiTheme="minorHAnsi" w:cstheme="minorHAnsi"/>
          <w:szCs w:val="24"/>
        </w:rPr>
        <w:t xml:space="preserve">n en dicho Reglamento. Sin embargo, son </w:t>
      </w:r>
      <w:r w:rsidR="005B77D2" w:rsidRPr="0080490E">
        <w:rPr>
          <w:rFonts w:asciiTheme="minorHAnsi" w:hAnsiTheme="minorHAnsi" w:cstheme="minorHAnsi"/>
          <w:szCs w:val="24"/>
        </w:rPr>
        <w:t>fenómenos</w:t>
      </w:r>
      <w:r w:rsidR="001A6FC4" w:rsidRPr="0080490E">
        <w:rPr>
          <w:rFonts w:asciiTheme="minorHAnsi" w:hAnsiTheme="minorHAnsi" w:cstheme="minorHAnsi"/>
          <w:szCs w:val="24"/>
        </w:rPr>
        <w:t xml:space="preserve"> compatibles</w:t>
      </w:r>
      <w:r w:rsidR="00910D12" w:rsidRPr="0080490E">
        <w:rPr>
          <w:rFonts w:asciiTheme="minorHAnsi" w:hAnsiTheme="minorHAnsi" w:cstheme="minorHAnsi"/>
          <w:szCs w:val="24"/>
        </w:rPr>
        <w:t xml:space="preserve"> y coordinables</w:t>
      </w:r>
      <w:r w:rsidR="001A6FC4" w:rsidRPr="0080490E">
        <w:rPr>
          <w:rFonts w:asciiTheme="minorHAnsi" w:hAnsiTheme="minorHAnsi" w:cstheme="minorHAnsi"/>
          <w:szCs w:val="24"/>
        </w:rPr>
        <w:t xml:space="preserve"> porque se puede</w:t>
      </w:r>
      <w:r w:rsidR="00E4590E" w:rsidRPr="0080490E">
        <w:rPr>
          <w:rFonts w:asciiTheme="minorHAnsi" w:hAnsiTheme="minorHAnsi" w:cstheme="minorHAnsi"/>
          <w:szCs w:val="24"/>
        </w:rPr>
        <w:t>n</w:t>
      </w:r>
      <w:r w:rsidR="001A6FC4" w:rsidRPr="0080490E">
        <w:rPr>
          <w:rFonts w:asciiTheme="minorHAnsi" w:hAnsiTheme="minorHAnsi" w:cstheme="minorHAnsi"/>
          <w:szCs w:val="24"/>
        </w:rPr>
        <w:t xml:space="preserve"> tokenizar </w:t>
      </w:r>
      <w:r w:rsidR="00E4590E" w:rsidRPr="0080490E">
        <w:rPr>
          <w:rFonts w:asciiTheme="minorHAnsi" w:hAnsiTheme="minorHAnsi" w:cstheme="minorHAnsi"/>
          <w:szCs w:val="24"/>
        </w:rPr>
        <w:t>operaciones de</w:t>
      </w:r>
      <w:r w:rsidR="001A6FC4" w:rsidRPr="0080490E">
        <w:rPr>
          <w:rFonts w:asciiTheme="minorHAnsi" w:hAnsiTheme="minorHAnsi" w:cstheme="minorHAnsi"/>
          <w:szCs w:val="24"/>
        </w:rPr>
        <w:t xml:space="preserve"> </w:t>
      </w:r>
      <w:r w:rsidR="001A6FC4" w:rsidRPr="0080490E">
        <w:rPr>
          <w:rFonts w:asciiTheme="minorHAnsi" w:hAnsiTheme="minorHAnsi" w:cstheme="minorHAnsi"/>
          <w:i/>
          <w:szCs w:val="24"/>
        </w:rPr>
        <w:t>crowdfunding</w:t>
      </w:r>
      <w:r w:rsidR="009E6BDC" w:rsidRPr="0080490E">
        <w:rPr>
          <w:rFonts w:asciiTheme="minorHAnsi" w:hAnsiTheme="minorHAnsi" w:cstheme="minorHAnsi"/>
          <w:szCs w:val="24"/>
        </w:rPr>
        <w:t xml:space="preserve"> regulado</w:t>
      </w:r>
      <w:r w:rsidR="00E538A9" w:rsidRPr="0080490E">
        <w:rPr>
          <w:rStyle w:val="Refdenotaalpie"/>
          <w:rFonts w:asciiTheme="minorHAnsi" w:hAnsiTheme="minorHAnsi" w:cstheme="minorHAnsi"/>
          <w:szCs w:val="24"/>
        </w:rPr>
        <w:footnoteReference w:id="36"/>
      </w:r>
      <w:r w:rsidR="00193093" w:rsidRPr="0080490E">
        <w:rPr>
          <w:rFonts w:asciiTheme="minorHAnsi" w:hAnsiTheme="minorHAnsi" w:cstheme="minorHAnsi"/>
          <w:szCs w:val="24"/>
        </w:rPr>
        <w:t>.</w:t>
      </w:r>
    </w:p>
    <w:p w14:paraId="5FBD354A" w14:textId="1CC36096" w:rsidR="00E538A9" w:rsidRPr="0080490E" w:rsidRDefault="007E109F"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A la vista de lo anterior, </w:t>
      </w:r>
      <w:r w:rsidR="005C59BB" w:rsidRPr="0080490E">
        <w:rPr>
          <w:rFonts w:asciiTheme="minorHAnsi" w:hAnsiTheme="minorHAnsi" w:cstheme="minorHAnsi"/>
          <w:szCs w:val="24"/>
        </w:rPr>
        <w:t>para</w:t>
      </w:r>
      <w:r w:rsidR="00446BB0" w:rsidRPr="0080490E">
        <w:rPr>
          <w:rFonts w:asciiTheme="minorHAnsi" w:hAnsiTheme="minorHAnsi" w:cstheme="minorHAnsi"/>
          <w:szCs w:val="24"/>
        </w:rPr>
        <w:t xml:space="preserve"> determinar </w:t>
      </w:r>
      <w:r w:rsidR="007F706A" w:rsidRPr="0080490E">
        <w:rPr>
          <w:rFonts w:asciiTheme="minorHAnsi" w:hAnsiTheme="minorHAnsi" w:cstheme="minorHAnsi"/>
          <w:szCs w:val="24"/>
        </w:rPr>
        <w:t xml:space="preserve">si </w:t>
      </w:r>
      <w:r w:rsidR="005C59BB" w:rsidRPr="0080490E">
        <w:rPr>
          <w:rFonts w:asciiTheme="minorHAnsi" w:hAnsiTheme="minorHAnsi" w:cstheme="minorHAnsi"/>
          <w:szCs w:val="24"/>
        </w:rPr>
        <w:t xml:space="preserve">la </w:t>
      </w:r>
      <w:r w:rsidR="00BE25C0" w:rsidRPr="0080490E">
        <w:rPr>
          <w:rFonts w:asciiTheme="minorHAnsi" w:hAnsiTheme="minorHAnsi" w:cstheme="minorHAnsi"/>
          <w:szCs w:val="24"/>
        </w:rPr>
        <w:t>normativa</w:t>
      </w:r>
      <w:r w:rsidR="005C59BB" w:rsidRPr="0080490E">
        <w:rPr>
          <w:rFonts w:asciiTheme="minorHAnsi" w:hAnsiTheme="minorHAnsi" w:cstheme="minorHAnsi"/>
          <w:szCs w:val="24"/>
        </w:rPr>
        <w:t xml:space="preserve"> </w:t>
      </w:r>
      <w:r w:rsidR="00E538A9" w:rsidRPr="0080490E">
        <w:rPr>
          <w:rFonts w:asciiTheme="minorHAnsi" w:hAnsiTheme="minorHAnsi" w:cstheme="minorHAnsi"/>
          <w:szCs w:val="24"/>
        </w:rPr>
        <w:t xml:space="preserve">sobre financiación participativa </w:t>
      </w:r>
      <w:r w:rsidR="005C59BB" w:rsidRPr="0080490E">
        <w:rPr>
          <w:rFonts w:asciiTheme="minorHAnsi" w:hAnsiTheme="minorHAnsi" w:cstheme="minorHAnsi"/>
          <w:szCs w:val="24"/>
        </w:rPr>
        <w:t xml:space="preserve">resulta de aplicación </w:t>
      </w:r>
      <w:r w:rsidRPr="0080490E">
        <w:rPr>
          <w:rFonts w:asciiTheme="minorHAnsi" w:hAnsiTheme="minorHAnsi" w:cstheme="minorHAnsi"/>
          <w:szCs w:val="24"/>
        </w:rPr>
        <w:t xml:space="preserve">a una </w:t>
      </w:r>
      <w:r w:rsidR="00F228A8" w:rsidRPr="0080490E">
        <w:rPr>
          <w:rFonts w:asciiTheme="minorHAnsi" w:hAnsiTheme="minorHAnsi" w:cstheme="minorHAnsi"/>
          <w:szCs w:val="24"/>
        </w:rPr>
        <w:t xml:space="preserve">inversión </w:t>
      </w:r>
      <w:r w:rsidRPr="0080490E">
        <w:rPr>
          <w:rFonts w:asciiTheme="minorHAnsi" w:hAnsiTheme="minorHAnsi" w:cstheme="minorHAnsi"/>
          <w:szCs w:val="24"/>
        </w:rPr>
        <w:t>tokeniza</w:t>
      </w:r>
      <w:r w:rsidR="00F228A8" w:rsidRPr="0080490E">
        <w:rPr>
          <w:rFonts w:asciiTheme="minorHAnsi" w:hAnsiTheme="minorHAnsi" w:cstheme="minorHAnsi"/>
          <w:szCs w:val="24"/>
        </w:rPr>
        <w:t>da</w:t>
      </w:r>
      <w:r w:rsidRPr="0080490E">
        <w:rPr>
          <w:rFonts w:asciiTheme="minorHAnsi" w:hAnsiTheme="minorHAnsi" w:cstheme="minorHAnsi"/>
          <w:szCs w:val="24"/>
        </w:rPr>
        <w:t xml:space="preserve"> </w:t>
      </w:r>
      <w:r w:rsidR="005C59BB" w:rsidRPr="0080490E">
        <w:rPr>
          <w:rFonts w:asciiTheme="minorHAnsi" w:hAnsiTheme="minorHAnsi" w:cstheme="minorHAnsi"/>
          <w:szCs w:val="24"/>
        </w:rPr>
        <w:t xml:space="preserve">es </w:t>
      </w:r>
      <w:r w:rsidRPr="0080490E">
        <w:rPr>
          <w:rFonts w:asciiTheme="minorHAnsi" w:hAnsiTheme="minorHAnsi" w:cstheme="minorHAnsi"/>
          <w:szCs w:val="24"/>
        </w:rPr>
        <w:t xml:space="preserve">decisivo determinar </w:t>
      </w:r>
      <w:r w:rsidR="005C59BB" w:rsidRPr="0080490E">
        <w:rPr>
          <w:rFonts w:asciiTheme="minorHAnsi" w:hAnsiTheme="minorHAnsi" w:cstheme="minorHAnsi"/>
          <w:szCs w:val="24"/>
        </w:rPr>
        <w:t xml:space="preserve">si </w:t>
      </w:r>
      <w:r w:rsidR="00446BB0" w:rsidRPr="0080490E">
        <w:rPr>
          <w:rFonts w:asciiTheme="minorHAnsi" w:hAnsiTheme="minorHAnsi" w:cstheme="minorHAnsi"/>
          <w:szCs w:val="24"/>
        </w:rPr>
        <w:t xml:space="preserve">hay intermediación. </w:t>
      </w:r>
      <w:r w:rsidRPr="0080490E">
        <w:rPr>
          <w:rFonts w:asciiTheme="minorHAnsi" w:hAnsiTheme="minorHAnsi" w:cstheme="minorHAnsi"/>
          <w:szCs w:val="24"/>
        </w:rPr>
        <w:t>C</w:t>
      </w:r>
      <w:r w:rsidR="005C59BB" w:rsidRPr="0080490E">
        <w:rPr>
          <w:rFonts w:asciiTheme="minorHAnsi" w:hAnsiTheme="minorHAnsi" w:cstheme="minorHAnsi"/>
          <w:szCs w:val="24"/>
        </w:rPr>
        <w:t xml:space="preserve">uando </w:t>
      </w:r>
      <w:r w:rsidR="00446BB0" w:rsidRPr="0080490E">
        <w:rPr>
          <w:rFonts w:asciiTheme="minorHAnsi" w:hAnsiTheme="minorHAnsi" w:cstheme="minorHAnsi"/>
          <w:szCs w:val="24"/>
        </w:rPr>
        <w:t xml:space="preserve">la </w:t>
      </w:r>
      <w:r w:rsidR="00F228A8" w:rsidRPr="0080490E">
        <w:rPr>
          <w:rFonts w:asciiTheme="minorHAnsi" w:hAnsiTheme="minorHAnsi" w:cstheme="minorHAnsi"/>
          <w:szCs w:val="24"/>
        </w:rPr>
        <w:t>tokenización</w:t>
      </w:r>
      <w:r w:rsidR="00446BB0" w:rsidRPr="0080490E">
        <w:rPr>
          <w:rFonts w:asciiTheme="minorHAnsi" w:hAnsiTheme="minorHAnsi" w:cstheme="minorHAnsi"/>
          <w:szCs w:val="24"/>
        </w:rPr>
        <w:t xml:space="preserve"> est</w:t>
      </w:r>
      <w:r w:rsidRPr="0080490E">
        <w:rPr>
          <w:rFonts w:asciiTheme="minorHAnsi" w:hAnsiTheme="minorHAnsi" w:cstheme="minorHAnsi"/>
          <w:szCs w:val="24"/>
        </w:rPr>
        <w:t>é</w:t>
      </w:r>
      <w:r w:rsidR="00446BB0" w:rsidRPr="0080490E">
        <w:rPr>
          <w:rFonts w:asciiTheme="minorHAnsi" w:hAnsiTheme="minorHAnsi" w:cstheme="minorHAnsi"/>
          <w:szCs w:val="24"/>
        </w:rPr>
        <w:t xml:space="preserve"> intermediada se precisará que la actividad sea </w:t>
      </w:r>
      <w:r w:rsidR="00446BB0" w:rsidRPr="0080490E">
        <w:rPr>
          <w:rFonts w:asciiTheme="minorHAnsi" w:hAnsiTheme="minorHAnsi" w:cstheme="minorHAnsi"/>
          <w:szCs w:val="24"/>
        </w:rPr>
        <w:lastRenderedPageBreak/>
        <w:t xml:space="preserve">desarrollada por una plataforma </w:t>
      </w:r>
      <w:r w:rsidR="0087711F" w:rsidRPr="0080490E">
        <w:rPr>
          <w:rFonts w:asciiTheme="minorHAnsi" w:hAnsiTheme="minorHAnsi" w:cstheme="minorHAnsi"/>
          <w:szCs w:val="24"/>
        </w:rPr>
        <w:t xml:space="preserve">autorizada </w:t>
      </w:r>
      <w:r w:rsidR="00A9550A" w:rsidRPr="0080490E">
        <w:rPr>
          <w:rFonts w:asciiTheme="minorHAnsi" w:hAnsiTheme="minorHAnsi" w:cstheme="minorHAnsi"/>
          <w:szCs w:val="24"/>
        </w:rPr>
        <w:t xml:space="preserve">por </w:t>
      </w:r>
      <w:r w:rsidR="00446BB0" w:rsidRPr="0080490E">
        <w:rPr>
          <w:rFonts w:asciiTheme="minorHAnsi" w:hAnsiTheme="minorHAnsi" w:cstheme="minorHAnsi"/>
          <w:szCs w:val="24"/>
        </w:rPr>
        <w:t>la CNMV.</w:t>
      </w:r>
      <w:r w:rsidR="00E538A9" w:rsidRPr="0080490E">
        <w:rPr>
          <w:rFonts w:asciiTheme="minorHAnsi" w:hAnsiTheme="minorHAnsi" w:cstheme="minorHAnsi"/>
          <w:szCs w:val="24"/>
        </w:rPr>
        <w:t xml:space="preserve"> Cuando </w:t>
      </w:r>
      <w:r w:rsidR="000E3E74" w:rsidRPr="0080490E">
        <w:rPr>
          <w:rFonts w:asciiTheme="minorHAnsi" w:hAnsiTheme="minorHAnsi" w:cstheme="minorHAnsi"/>
          <w:szCs w:val="24"/>
        </w:rPr>
        <w:t>así ocurra</w:t>
      </w:r>
      <w:r w:rsidR="00E538A9" w:rsidRPr="0080490E">
        <w:rPr>
          <w:rFonts w:asciiTheme="minorHAnsi" w:hAnsiTheme="minorHAnsi" w:cstheme="minorHAnsi"/>
          <w:szCs w:val="24"/>
        </w:rPr>
        <w:t>, el token representa</w:t>
      </w:r>
      <w:r w:rsidR="008F3570" w:rsidRPr="0080490E">
        <w:rPr>
          <w:rFonts w:asciiTheme="minorHAnsi" w:hAnsiTheme="minorHAnsi" w:cstheme="minorHAnsi"/>
          <w:szCs w:val="24"/>
        </w:rPr>
        <w:t>rá de forma</w:t>
      </w:r>
      <w:r w:rsidR="00E538A9" w:rsidRPr="0080490E">
        <w:rPr>
          <w:rFonts w:asciiTheme="minorHAnsi" w:hAnsiTheme="minorHAnsi" w:cstheme="minorHAnsi"/>
          <w:szCs w:val="24"/>
        </w:rPr>
        <w:t xml:space="preserve"> </w:t>
      </w:r>
      <w:r w:rsidR="008F3570" w:rsidRPr="0080490E">
        <w:rPr>
          <w:rFonts w:asciiTheme="minorHAnsi" w:hAnsiTheme="minorHAnsi" w:cstheme="minorHAnsi"/>
          <w:szCs w:val="24"/>
        </w:rPr>
        <w:t>criptográfica</w:t>
      </w:r>
      <w:r w:rsidR="00E538A9" w:rsidRPr="0080490E">
        <w:rPr>
          <w:rFonts w:asciiTheme="minorHAnsi" w:hAnsiTheme="minorHAnsi" w:cstheme="minorHAnsi"/>
          <w:szCs w:val="24"/>
        </w:rPr>
        <w:t xml:space="preserve"> la relación subyacente </w:t>
      </w:r>
      <w:r w:rsidR="00574550" w:rsidRPr="0080490E">
        <w:rPr>
          <w:rFonts w:asciiTheme="minorHAnsi" w:hAnsiTheme="minorHAnsi" w:cstheme="minorHAnsi"/>
          <w:szCs w:val="24"/>
        </w:rPr>
        <w:t xml:space="preserve">de </w:t>
      </w:r>
      <w:r w:rsidR="00574550" w:rsidRPr="0080490E">
        <w:rPr>
          <w:rFonts w:asciiTheme="minorHAnsi" w:hAnsiTheme="minorHAnsi" w:cstheme="minorHAnsi"/>
          <w:i/>
          <w:iCs/>
          <w:szCs w:val="24"/>
        </w:rPr>
        <w:t>crowdfunding</w:t>
      </w:r>
      <w:r w:rsidR="00574550" w:rsidRPr="0080490E">
        <w:rPr>
          <w:rFonts w:asciiTheme="minorHAnsi" w:hAnsiTheme="minorHAnsi" w:cstheme="minorHAnsi"/>
          <w:szCs w:val="24"/>
        </w:rPr>
        <w:t xml:space="preserve"> o de </w:t>
      </w:r>
      <w:r w:rsidR="00574550" w:rsidRPr="0080490E">
        <w:rPr>
          <w:rFonts w:asciiTheme="minorHAnsi" w:hAnsiTheme="minorHAnsi" w:cstheme="minorHAnsi"/>
          <w:i/>
          <w:iCs/>
          <w:szCs w:val="24"/>
        </w:rPr>
        <w:t>crowdlending</w:t>
      </w:r>
      <w:r w:rsidR="00574550" w:rsidRPr="0080490E">
        <w:rPr>
          <w:rFonts w:asciiTheme="minorHAnsi" w:hAnsiTheme="minorHAnsi" w:cstheme="minorHAnsi"/>
          <w:szCs w:val="24"/>
        </w:rPr>
        <w:t xml:space="preserve"> suscrita </w:t>
      </w:r>
      <w:r w:rsidR="00E538A9" w:rsidRPr="0080490E">
        <w:rPr>
          <w:rFonts w:asciiTheme="minorHAnsi" w:hAnsiTheme="minorHAnsi" w:cstheme="minorHAnsi"/>
          <w:szCs w:val="24"/>
        </w:rPr>
        <w:t xml:space="preserve">entre el inversor y </w:t>
      </w:r>
      <w:r w:rsidR="000E3E74" w:rsidRPr="0080490E">
        <w:rPr>
          <w:rFonts w:asciiTheme="minorHAnsi" w:hAnsiTheme="minorHAnsi" w:cstheme="minorHAnsi"/>
          <w:szCs w:val="24"/>
        </w:rPr>
        <w:t xml:space="preserve">el promotor a través de </w:t>
      </w:r>
      <w:r w:rsidR="00E538A9" w:rsidRPr="0080490E">
        <w:rPr>
          <w:rFonts w:asciiTheme="minorHAnsi" w:hAnsiTheme="minorHAnsi" w:cstheme="minorHAnsi"/>
          <w:szCs w:val="24"/>
        </w:rPr>
        <w:t xml:space="preserve">la plataforma de </w:t>
      </w:r>
      <w:r w:rsidR="00BF7D89" w:rsidRPr="0080490E">
        <w:rPr>
          <w:rFonts w:asciiTheme="minorHAnsi" w:hAnsiTheme="minorHAnsi" w:cstheme="minorHAnsi"/>
          <w:szCs w:val="24"/>
        </w:rPr>
        <w:t>intermediación</w:t>
      </w:r>
      <w:r w:rsidR="00E538A9" w:rsidRPr="0080490E">
        <w:rPr>
          <w:rFonts w:asciiTheme="minorHAnsi" w:hAnsiTheme="minorHAnsi" w:cstheme="minorHAnsi"/>
          <w:szCs w:val="24"/>
        </w:rPr>
        <w:t xml:space="preserve"> </w:t>
      </w:r>
      <w:r w:rsidR="008F3570" w:rsidRPr="0080490E">
        <w:rPr>
          <w:rFonts w:asciiTheme="minorHAnsi" w:hAnsiTheme="minorHAnsi" w:cstheme="minorHAnsi"/>
          <w:szCs w:val="24"/>
        </w:rPr>
        <w:t xml:space="preserve">que asumirá la </w:t>
      </w:r>
      <w:r w:rsidR="00574550" w:rsidRPr="0080490E">
        <w:rPr>
          <w:rFonts w:asciiTheme="minorHAnsi" w:hAnsiTheme="minorHAnsi" w:cstheme="minorHAnsi"/>
          <w:szCs w:val="24"/>
        </w:rPr>
        <w:t xml:space="preserve">tarea de </w:t>
      </w:r>
      <w:r w:rsidR="000E3E74" w:rsidRPr="0080490E">
        <w:rPr>
          <w:rFonts w:asciiTheme="minorHAnsi" w:hAnsiTheme="minorHAnsi" w:cstheme="minorHAnsi"/>
          <w:szCs w:val="24"/>
        </w:rPr>
        <w:t>representa</w:t>
      </w:r>
      <w:r w:rsidR="00574550" w:rsidRPr="0080490E">
        <w:rPr>
          <w:rFonts w:asciiTheme="minorHAnsi" w:hAnsiTheme="minorHAnsi" w:cstheme="minorHAnsi"/>
          <w:szCs w:val="24"/>
        </w:rPr>
        <w:t>r</w:t>
      </w:r>
      <w:r w:rsidR="000E3E74" w:rsidRPr="0080490E">
        <w:rPr>
          <w:rFonts w:asciiTheme="minorHAnsi" w:hAnsiTheme="minorHAnsi" w:cstheme="minorHAnsi"/>
          <w:szCs w:val="24"/>
        </w:rPr>
        <w:t xml:space="preserve"> </w:t>
      </w:r>
      <w:r w:rsidR="00574550" w:rsidRPr="0080490E">
        <w:rPr>
          <w:rFonts w:asciiTheme="minorHAnsi" w:hAnsiTheme="minorHAnsi" w:cstheme="minorHAnsi"/>
          <w:szCs w:val="24"/>
        </w:rPr>
        <w:t xml:space="preserve">esa relación </w:t>
      </w:r>
      <w:r w:rsidR="000E3E74" w:rsidRPr="0080490E">
        <w:rPr>
          <w:rFonts w:asciiTheme="minorHAnsi" w:hAnsiTheme="minorHAnsi" w:cstheme="minorHAnsi"/>
          <w:szCs w:val="24"/>
        </w:rPr>
        <w:t>en un token</w:t>
      </w:r>
      <w:r w:rsidR="00E538A9" w:rsidRPr="0080490E">
        <w:rPr>
          <w:rFonts w:asciiTheme="minorHAnsi" w:hAnsiTheme="minorHAnsi" w:cstheme="minorHAnsi"/>
          <w:szCs w:val="24"/>
        </w:rPr>
        <w:t>.</w:t>
      </w:r>
    </w:p>
    <w:p w14:paraId="1C827540" w14:textId="2AE43E9B" w:rsidR="00B4316D" w:rsidRPr="0080490E" w:rsidRDefault="00B4316D"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En caso de que una plataforma de financiación participativa opere a través de tokens que representen valores </w:t>
      </w:r>
      <w:r w:rsidR="0033303F" w:rsidRPr="0080490E">
        <w:rPr>
          <w:rFonts w:asciiTheme="minorHAnsi" w:hAnsiTheme="minorHAnsi" w:cstheme="minorHAnsi"/>
          <w:szCs w:val="24"/>
        </w:rPr>
        <w:t>negociable</w:t>
      </w:r>
      <w:r w:rsidRPr="0080490E">
        <w:rPr>
          <w:rFonts w:asciiTheme="minorHAnsi" w:hAnsiTheme="minorHAnsi" w:cstheme="minorHAnsi"/>
          <w:szCs w:val="24"/>
        </w:rPr>
        <w:t xml:space="preserve">s o derechos a participar en las ganancias del promotor </w:t>
      </w:r>
      <w:r w:rsidRPr="0080490E">
        <w:rPr>
          <w:rFonts w:asciiTheme="minorHAnsi" w:hAnsiTheme="minorHAnsi" w:cstheme="minorHAnsi"/>
          <w:i/>
          <w:iCs/>
          <w:szCs w:val="24"/>
        </w:rPr>
        <w:t>(</w:t>
      </w:r>
      <w:proofErr w:type="spellStart"/>
      <w:r w:rsidRPr="0080490E">
        <w:rPr>
          <w:rFonts w:asciiTheme="minorHAnsi" w:hAnsiTheme="minorHAnsi" w:cstheme="minorHAnsi"/>
          <w:i/>
          <w:iCs/>
          <w:szCs w:val="24"/>
        </w:rPr>
        <w:t>security</w:t>
      </w:r>
      <w:proofErr w:type="spellEnd"/>
      <w:r w:rsidRPr="0080490E">
        <w:rPr>
          <w:rFonts w:asciiTheme="minorHAnsi" w:hAnsiTheme="minorHAnsi" w:cstheme="minorHAnsi"/>
          <w:i/>
          <w:iCs/>
          <w:szCs w:val="24"/>
        </w:rPr>
        <w:t xml:space="preserve"> tokens</w:t>
      </w:r>
      <w:r w:rsidRPr="0080490E">
        <w:rPr>
          <w:rFonts w:asciiTheme="minorHAnsi" w:hAnsiTheme="minorHAnsi" w:cstheme="minorHAnsi"/>
          <w:szCs w:val="24"/>
        </w:rPr>
        <w:t>) no será precisa la supervisión de la tokenización por parte de una entidad de servicios de inversión. Como se expondrá más adelante</w:t>
      </w:r>
      <w:r w:rsidR="00671C10" w:rsidRPr="0080490E">
        <w:rPr>
          <w:rFonts w:asciiTheme="minorHAnsi" w:hAnsiTheme="minorHAnsi" w:cstheme="minorHAnsi"/>
          <w:szCs w:val="24"/>
        </w:rPr>
        <w:t>,</w:t>
      </w:r>
      <w:r w:rsidRPr="0080490E">
        <w:rPr>
          <w:rFonts w:asciiTheme="minorHAnsi" w:hAnsiTheme="minorHAnsi" w:cstheme="minorHAnsi"/>
          <w:szCs w:val="24"/>
        </w:rPr>
        <w:t xml:space="preserve"> </w:t>
      </w:r>
      <w:r w:rsidR="000853A3" w:rsidRPr="0080490E">
        <w:rPr>
          <w:rFonts w:asciiTheme="minorHAnsi" w:hAnsiTheme="minorHAnsi" w:cstheme="minorHAnsi"/>
          <w:szCs w:val="24"/>
        </w:rPr>
        <w:t xml:space="preserve">la </w:t>
      </w:r>
      <w:r w:rsidR="00671C10" w:rsidRPr="0080490E">
        <w:rPr>
          <w:rFonts w:asciiTheme="minorHAnsi" w:hAnsiTheme="minorHAnsi" w:cstheme="minorHAnsi"/>
          <w:szCs w:val="24"/>
        </w:rPr>
        <w:t>Ley 6/2023, de 17 de marzo, de los Mercados de Valores y de los Servicios de Inversión (en adelante, LMVSI)</w:t>
      </w:r>
      <w:r w:rsidRPr="0080490E">
        <w:rPr>
          <w:rFonts w:asciiTheme="minorHAnsi" w:hAnsiTheme="minorHAnsi" w:cstheme="minorHAnsi"/>
          <w:szCs w:val="24"/>
        </w:rPr>
        <w:t xml:space="preserve"> impone </w:t>
      </w:r>
      <w:r w:rsidR="001832F0" w:rsidRPr="0080490E">
        <w:rPr>
          <w:rFonts w:asciiTheme="minorHAnsi" w:hAnsiTheme="minorHAnsi" w:cstheme="minorHAnsi"/>
          <w:szCs w:val="24"/>
        </w:rPr>
        <w:t xml:space="preserve">—como ya lo hacían sus precedentes normativos— </w:t>
      </w:r>
      <w:r w:rsidRPr="0080490E">
        <w:rPr>
          <w:rFonts w:asciiTheme="minorHAnsi" w:hAnsiTheme="minorHAnsi" w:cstheme="minorHAnsi"/>
          <w:szCs w:val="24"/>
        </w:rPr>
        <w:t>dicha supervisión en aquellos casos en los que la emisión no requier</w:t>
      </w:r>
      <w:r w:rsidR="00D26283" w:rsidRPr="0080490E">
        <w:rPr>
          <w:rFonts w:asciiTheme="minorHAnsi" w:hAnsiTheme="minorHAnsi" w:cstheme="minorHAnsi"/>
          <w:szCs w:val="24"/>
        </w:rPr>
        <w:t>a</w:t>
      </w:r>
      <w:r w:rsidRPr="0080490E">
        <w:rPr>
          <w:rFonts w:asciiTheme="minorHAnsi" w:hAnsiTheme="minorHAnsi" w:cstheme="minorHAnsi"/>
          <w:szCs w:val="24"/>
        </w:rPr>
        <w:t xml:space="preserve"> la previa publicación de un folleto. Sin embargo, según el artículo 36.2 LMVSI «no será de aplicación esta obligación al ejercicio de la actividad propia de las plataformas de financiación participativa debidamente autorizadas».</w:t>
      </w:r>
    </w:p>
    <w:p w14:paraId="5BE30EBD" w14:textId="77777777" w:rsidR="00973753" w:rsidRPr="0080490E" w:rsidRDefault="00973753" w:rsidP="0080490E">
      <w:pPr>
        <w:spacing w:after="0" w:line="276" w:lineRule="auto"/>
        <w:ind w:firstLine="0"/>
        <w:rPr>
          <w:rFonts w:asciiTheme="minorHAnsi" w:hAnsiTheme="minorHAnsi" w:cstheme="minorHAnsi"/>
          <w:szCs w:val="24"/>
        </w:rPr>
      </w:pPr>
    </w:p>
    <w:p w14:paraId="28D1BC0C" w14:textId="5C32B6BE" w:rsidR="00BC16ED" w:rsidRPr="0080490E" w:rsidRDefault="00F34C3F" w:rsidP="0080490E">
      <w:pPr>
        <w:pStyle w:val="Ttulo1"/>
        <w:spacing w:after="0" w:line="276" w:lineRule="auto"/>
        <w:ind w:firstLine="0"/>
        <w:rPr>
          <w:rFonts w:asciiTheme="minorHAnsi" w:hAnsiTheme="minorHAnsi" w:cstheme="minorHAnsi"/>
        </w:rPr>
      </w:pPr>
      <w:r w:rsidRPr="0080490E">
        <w:rPr>
          <w:rFonts w:asciiTheme="minorHAnsi" w:hAnsiTheme="minorHAnsi" w:cstheme="minorHAnsi"/>
        </w:rPr>
        <w:t xml:space="preserve">5. </w:t>
      </w:r>
      <w:r w:rsidR="003F345A" w:rsidRPr="0080490E">
        <w:rPr>
          <w:rFonts w:asciiTheme="minorHAnsi" w:hAnsiTheme="minorHAnsi" w:cstheme="minorHAnsi"/>
        </w:rPr>
        <w:t>Superposición de la t</w:t>
      </w:r>
      <w:r w:rsidR="00BC16ED" w:rsidRPr="0080490E">
        <w:rPr>
          <w:rFonts w:asciiTheme="minorHAnsi" w:hAnsiTheme="minorHAnsi" w:cstheme="minorHAnsi"/>
        </w:rPr>
        <w:t xml:space="preserve">okenización </w:t>
      </w:r>
      <w:r w:rsidR="003F345A" w:rsidRPr="0080490E">
        <w:rPr>
          <w:rFonts w:asciiTheme="minorHAnsi" w:hAnsiTheme="minorHAnsi" w:cstheme="minorHAnsi"/>
        </w:rPr>
        <w:t>respecto de</w:t>
      </w:r>
      <w:r w:rsidR="00BC16ED" w:rsidRPr="0080490E">
        <w:rPr>
          <w:rFonts w:asciiTheme="minorHAnsi" w:hAnsiTheme="minorHAnsi" w:cstheme="minorHAnsi"/>
        </w:rPr>
        <w:t xml:space="preserve"> contratos de inversión</w:t>
      </w:r>
    </w:p>
    <w:p w14:paraId="63CFFEB2" w14:textId="2DF2D9AE" w:rsidR="00B75BA4" w:rsidRPr="0080490E" w:rsidRDefault="00B75BA4" w:rsidP="0080490E">
      <w:pPr>
        <w:pStyle w:val="Ttulo2"/>
        <w:spacing w:after="0" w:line="276" w:lineRule="auto"/>
        <w:ind w:firstLine="0"/>
        <w:rPr>
          <w:rFonts w:asciiTheme="minorHAnsi" w:hAnsiTheme="minorHAnsi" w:cstheme="minorHAnsi"/>
          <w:szCs w:val="24"/>
        </w:rPr>
      </w:pPr>
      <w:r w:rsidRPr="0080490E">
        <w:rPr>
          <w:rFonts w:asciiTheme="minorHAnsi" w:hAnsiTheme="minorHAnsi" w:cstheme="minorHAnsi"/>
          <w:szCs w:val="24"/>
        </w:rPr>
        <w:t>5.1. Contratos de inversión</w:t>
      </w:r>
      <w:r w:rsidR="00567BEF" w:rsidRPr="0080490E">
        <w:rPr>
          <w:rFonts w:asciiTheme="minorHAnsi" w:hAnsiTheme="minorHAnsi" w:cstheme="minorHAnsi"/>
          <w:szCs w:val="24"/>
        </w:rPr>
        <w:t xml:space="preserve"> en formato electrónico</w:t>
      </w:r>
    </w:p>
    <w:p w14:paraId="1AFE367E" w14:textId="318E6ED1" w:rsidR="00A435F3" w:rsidRPr="0080490E" w:rsidRDefault="007E109F"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lang w:eastAsia="es-ES_tradnl"/>
        </w:rPr>
        <w:t xml:space="preserve">La </w:t>
      </w:r>
      <w:r w:rsidR="00C31DE8" w:rsidRPr="0080490E">
        <w:rPr>
          <w:rFonts w:asciiTheme="minorHAnsi" w:hAnsiTheme="minorHAnsi" w:cstheme="minorHAnsi"/>
          <w:szCs w:val="24"/>
          <w:lang w:eastAsia="es-ES_tradnl"/>
        </w:rPr>
        <w:t xml:space="preserve">inversión </w:t>
      </w:r>
      <w:r w:rsidRPr="0080490E">
        <w:rPr>
          <w:rFonts w:asciiTheme="minorHAnsi" w:hAnsiTheme="minorHAnsi" w:cstheme="minorHAnsi"/>
          <w:szCs w:val="24"/>
          <w:lang w:eastAsia="es-ES_tradnl"/>
        </w:rPr>
        <w:t>tokeniza</w:t>
      </w:r>
      <w:r w:rsidR="00C31DE8" w:rsidRPr="0080490E">
        <w:rPr>
          <w:rFonts w:asciiTheme="minorHAnsi" w:hAnsiTheme="minorHAnsi" w:cstheme="minorHAnsi"/>
          <w:szCs w:val="24"/>
          <w:lang w:eastAsia="es-ES_tradnl"/>
        </w:rPr>
        <w:t>da</w:t>
      </w:r>
      <w:r w:rsidRPr="0080490E">
        <w:rPr>
          <w:rFonts w:asciiTheme="minorHAnsi" w:hAnsiTheme="minorHAnsi" w:cstheme="minorHAnsi"/>
          <w:szCs w:val="24"/>
          <w:lang w:eastAsia="es-ES_tradnl"/>
        </w:rPr>
        <w:t xml:space="preserve"> es un fenómeno reciente que </w:t>
      </w:r>
      <w:r w:rsidR="00510811" w:rsidRPr="0080490E">
        <w:rPr>
          <w:rFonts w:asciiTheme="minorHAnsi" w:hAnsiTheme="minorHAnsi" w:cstheme="minorHAnsi"/>
          <w:szCs w:val="24"/>
          <w:lang w:eastAsia="es-ES_tradnl"/>
        </w:rPr>
        <w:t>pretende simplificar la inversión tradicional</w:t>
      </w:r>
      <w:r w:rsidRPr="0080490E">
        <w:rPr>
          <w:rFonts w:asciiTheme="minorHAnsi" w:hAnsiTheme="minorHAnsi" w:cstheme="minorHAnsi"/>
          <w:szCs w:val="24"/>
          <w:lang w:eastAsia="es-ES_tradnl"/>
        </w:rPr>
        <w:t>.</w:t>
      </w:r>
      <w:r w:rsidR="000F6BB9" w:rsidRPr="0080490E">
        <w:rPr>
          <w:rFonts w:asciiTheme="minorHAnsi" w:hAnsiTheme="minorHAnsi" w:cstheme="minorHAnsi"/>
          <w:szCs w:val="24"/>
          <w:lang w:eastAsia="es-ES_tradnl"/>
        </w:rPr>
        <w:t xml:space="preserve"> De ahí que</w:t>
      </w:r>
      <w:r w:rsidRPr="0080490E">
        <w:rPr>
          <w:rFonts w:asciiTheme="minorHAnsi" w:hAnsiTheme="minorHAnsi" w:cstheme="minorHAnsi"/>
          <w:szCs w:val="24"/>
          <w:lang w:eastAsia="es-ES_tradnl"/>
        </w:rPr>
        <w:t xml:space="preserve"> se pueda afirmar que </w:t>
      </w:r>
      <w:r w:rsidR="00F66D9A" w:rsidRPr="0080490E">
        <w:rPr>
          <w:rFonts w:asciiTheme="minorHAnsi" w:hAnsiTheme="minorHAnsi" w:cstheme="minorHAnsi"/>
          <w:szCs w:val="24"/>
          <w:lang w:eastAsia="es-ES_tradnl"/>
        </w:rPr>
        <w:t>la tokenización no crea</w:t>
      </w:r>
      <w:r w:rsidR="00510811" w:rsidRPr="0080490E">
        <w:rPr>
          <w:rFonts w:asciiTheme="minorHAnsi" w:hAnsiTheme="minorHAnsi" w:cstheme="minorHAnsi"/>
          <w:szCs w:val="24"/>
          <w:lang w:eastAsia="es-ES_tradnl"/>
        </w:rPr>
        <w:t xml:space="preserve"> nuevas </w:t>
      </w:r>
      <w:r w:rsidR="00F66D9A" w:rsidRPr="0080490E">
        <w:rPr>
          <w:rFonts w:asciiTheme="minorHAnsi" w:hAnsiTheme="minorHAnsi" w:cstheme="minorHAnsi"/>
          <w:szCs w:val="24"/>
          <w:lang w:eastAsia="es-ES_tradnl"/>
        </w:rPr>
        <w:t>oportunidad</w:t>
      </w:r>
      <w:r w:rsidR="00510811" w:rsidRPr="0080490E">
        <w:rPr>
          <w:rFonts w:asciiTheme="minorHAnsi" w:hAnsiTheme="minorHAnsi" w:cstheme="minorHAnsi"/>
          <w:szCs w:val="24"/>
          <w:lang w:eastAsia="es-ES_tradnl"/>
        </w:rPr>
        <w:t>es</w:t>
      </w:r>
      <w:r w:rsidR="00F66D9A" w:rsidRPr="0080490E">
        <w:rPr>
          <w:rFonts w:asciiTheme="minorHAnsi" w:hAnsiTheme="minorHAnsi" w:cstheme="minorHAnsi"/>
          <w:szCs w:val="24"/>
          <w:lang w:eastAsia="es-ES_tradnl"/>
        </w:rPr>
        <w:t xml:space="preserve"> de </w:t>
      </w:r>
      <w:r w:rsidR="005B1A66" w:rsidRPr="0080490E">
        <w:rPr>
          <w:rFonts w:asciiTheme="minorHAnsi" w:hAnsiTheme="minorHAnsi" w:cstheme="minorHAnsi"/>
          <w:szCs w:val="24"/>
          <w:lang w:eastAsia="es-ES_tradnl"/>
        </w:rPr>
        <w:t>negocio</w:t>
      </w:r>
      <w:r w:rsidR="00B47073" w:rsidRPr="0080490E">
        <w:rPr>
          <w:rFonts w:asciiTheme="minorHAnsi" w:hAnsiTheme="minorHAnsi" w:cstheme="minorHAnsi"/>
          <w:szCs w:val="24"/>
          <w:lang w:eastAsia="es-ES_tradnl"/>
        </w:rPr>
        <w:t>,</w:t>
      </w:r>
      <w:r w:rsidR="00F66D9A" w:rsidRPr="0080490E">
        <w:rPr>
          <w:rFonts w:asciiTheme="minorHAnsi" w:hAnsiTheme="minorHAnsi" w:cstheme="minorHAnsi"/>
          <w:szCs w:val="24"/>
          <w:lang w:eastAsia="es-ES_tradnl"/>
        </w:rPr>
        <w:t xml:space="preserve"> </w:t>
      </w:r>
      <w:r w:rsidR="00510811" w:rsidRPr="0080490E">
        <w:rPr>
          <w:rFonts w:asciiTheme="minorHAnsi" w:hAnsiTheme="minorHAnsi" w:cstheme="minorHAnsi"/>
          <w:szCs w:val="24"/>
          <w:lang w:eastAsia="es-ES_tradnl"/>
        </w:rPr>
        <w:t>pues</w:t>
      </w:r>
      <w:r w:rsidR="00B9359F" w:rsidRPr="0080490E">
        <w:rPr>
          <w:rFonts w:asciiTheme="minorHAnsi" w:hAnsiTheme="minorHAnsi" w:cstheme="minorHAnsi"/>
          <w:szCs w:val="24"/>
          <w:lang w:eastAsia="es-ES_tradnl"/>
        </w:rPr>
        <w:t xml:space="preserve"> </w:t>
      </w:r>
      <w:r w:rsidR="00510811" w:rsidRPr="0080490E">
        <w:rPr>
          <w:rFonts w:asciiTheme="minorHAnsi" w:hAnsiTheme="minorHAnsi" w:cstheme="minorHAnsi"/>
          <w:szCs w:val="24"/>
          <w:lang w:eastAsia="es-ES_tradnl"/>
        </w:rPr>
        <w:t xml:space="preserve">solo implementa </w:t>
      </w:r>
      <w:r w:rsidR="00FA5C2E" w:rsidRPr="0080490E">
        <w:rPr>
          <w:rFonts w:asciiTheme="minorHAnsi" w:hAnsiTheme="minorHAnsi" w:cstheme="minorHAnsi"/>
          <w:szCs w:val="24"/>
          <w:lang w:eastAsia="es-ES_tradnl"/>
        </w:rPr>
        <w:t xml:space="preserve">la tecnología de las cadenas de bloques </w:t>
      </w:r>
      <w:r w:rsidR="00C31DE8" w:rsidRPr="0080490E">
        <w:rPr>
          <w:rFonts w:asciiTheme="minorHAnsi" w:hAnsiTheme="minorHAnsi" w:cstheme="minorHAnsi"/>
          <w:szCs w:val="24"/>
          <w:lang w:eastAsia="es-ES_tradnl"/>
        </w:rPr>
        <w:t>a</w:t>
      </w:r>
      <w:r w:rsidR="00FA5C2E" w:rsidRPr="0080490E">
        <w:rPr>
          <w:rFonts w:asciiTheme="minorHAnsi" w:hAnsiTheme="minorHAnsi" w:cstheme="minorHAnsi"/>
          <w:szCs w:val="24"/>
          <w:lang w:eastAsia="es-ES_tradnl"/>
        </w:rPr>
        <w:t xml:space="preserve"> </w:t>
      </w:r>
      <w:r w:rsidR="00F66D9A" w:rsidRPr="0080490E">
        <w:rPr>
          <w:rFonts w:asciiTheme="minorHAnsi" w:hAnsiTheme="minorHAnsi" w:cstheme="minorHAnsi"/>
          <w:szCs w:val="24"/>
          <w:lang w:eastAsia="es-ES_tradnl"/>
        </w:rPr>
        <w:t>l</w:t>
      </w:r>
      <w:r w:rsidR="002736CC" w:rsidRPr="0080490E">
        <w:rPr>
          <w:rFonts w:asciiTheme="minorHAnsi" w:hAnsiTheme="minorHAnsi" w:cstheme="minorHAnsi"/>
          <w:szCs w:val="24"/>
          <w:lang w:eastAsia="es-ES_tradnl"/>
        </w:rPr>
        <w:t>a</w:t>
      </w:r>
      <w:r w:rsidR="00F66D9A" w:rsidRPr="0080490E">
        <w:rPr>
          <w:rFonts w:asciiTheme="minorHAnsi" w:hAnsiTheme="minorHAnsi" w:cstheme="minorHAnsi"/>
          <w:szCs w:val="24"/>
          <w:lang w:eastAsia="es-ES_tradnl"/>
        </w:rPr>
        <w:t xml:space="preserve">s </w:t>
      </w:r>
      <w:r w:rsidR="002736CC" w:rsidRPr="0080490E">
        <w:rPr>
          <w:rFonts w:asciiTheme="minorHAnsi" w:hAnsiTheme="minorHAnsi" w:cstheme="minorHAnsi"/>
          <w:szCs w:val="24"/>
          <w:lang w:eastAsia="es-ES_tradnl"/>
        </w:rPr>
        <w:t>formas</w:t>
      </w:r>
      <w:r w:rsidR="000F6BB9" w:rsidRPr="0080490E">
        <w:rPr>
          <w:rFonts w:asciiTheme="minorHAnsi" w:hAnsiTheme="minorHAnsi" w:cstheme="minorHAnsi"/>
          <w:szCs w:val="24"/>
          <w:lang w:eastAsia="es-ES_tradnl"/>
        </w:rPr>
        <w:t xml:space="preserve"> tradicionales </w:t>
      </w:r>
      <w:r w:rsidR="00F66D9A" w:rsidRPr="0080490E">
        <w:rPr>
          <w:rFonts w:asciiTheme="minorHAnsi" w:hAnsiTheme="minorHAnsi" w:cstheme="minorHAnsi"/>
          <w:szCs w:val="24"/>
          <w:lang w:eastAsia="es-ES_tradnl"/>
        </w:rPr>
        <w:t xml:space="preserve">de </w:t>
      </w:r>
      <w:r w:rsidR="000F6BB9" w:rsidRPr="0080490E">
        <w:rPr>
          <w:rFonts w:asciiTheme="minorHAnsi" w:hAnsiTheme="minorHAnsi" w:cstheme="minorHAnsi"/>
          <w:szCs w:val="24"/>
          <w:lang w:eastAsia="es-ES_tradnl"/>
        </w:rPr>
        <w:t>inversión</w:t>
      </w:r>
      <w:r w:rsidR="00FA5C2E" w:rsidRPr="0080490E">
        <w:rPr>
          <w:rFonts w:asciiTheme="minorHAnsi" w:hAnsiTheme="minorHAnsi" w:cstheme="minorHAnsi"/>
          <w:szCs w:val="24"/>
          <w:lang w:eastAsia="es-ES_tradnl"/>
        </w:rPr>
        <w:t>.</w:t>
      </w:r>
      <w:r w:rsidR="00AC05D5" w:rsidRPr="0080490E">
        <w:rPr>
          <w:rFonts w:asciiTheme="minorHAnsi" w:hAnsiTheme="minorHAnsi" w:cstheme="minorHAnsi"/>
          <w:szCs w:val="24"/>
          <w:lang w:eastAsia="es-ES_tradnl"/>
        </w:rPr>
        <w:t xml:space="preserve"> </w:t>
      </w:r>
      <w:r w:rsidR="00B03CC0" w:rsidRPr="0080490E">
        <w:rPr>
          <w:rFonts w:asciiTheme="minorHAnsi" w:hAnsiTheme="minorHAnsi" w:cstheme="minorHAnsi"/>
          <w:szCs w:val="24"/>
        </w:rPr>
        <w:t>Un</w:t>
      </w:r>
      <w:r w:rsidR="00251038" w:rsidRPr="0080490E">
        <w:rPr>
          <w:rFonts w:asciiTheme="minorHAnsi" w:hAnsiTheme="minorHAnsi" w:cstheme="minorHAnsi"/>
          <w:szCs w:val="24"/>
        </w:rPr>
        <w:t>o</w:t>
      </w:r>
      <w:r w:rsidR="00B03CC0" w:rsidRPr="0080490E">
        <w:rPr>
          <w:rFonts w:asciiTheme="minorHAnsi" w:hAnsiTheme="minorHAnsi" w:cstheme="minorHAnsi"/>
          <w:szCs w:val="24"/>
        </w:rPr>
        <w:t xml:space="preserve"> de los</w:t>
      </w:r>
      <w:r w:rsidR="00EA6EC5" w:rsidRPr="0080490E">
        <w:rPr>
          <w:rFonts w:asciiTheme="minorHAnsi" w:hAnsiTheme="minorHAnsi" w:cstheme="minorHAnsi"/>
          <w:szCs w:val="24"/>
        </w:rPr>
        <w:t xml:space="preserve"> reto</w:t>
      </w:r>
      <w:r w:rsidR="00B03CC0" w:rsidRPr="0080490E">
        <w:rPr>
          <w:rFonts w:asciiTheme="minorHAnsi" w:hAnsiTheme="minorHAnsi" w:cstheme="minorHAnsi"/>
          <w:szCs w:val="24"/>
        </w:rPr>
        <w:t>s</w:t>
      </w:r>
      <w:r w:rsidR="00EA6EC5" w:rsidRPr="0080490E">
        <w:rPr>
          <w:rFonts w:asciiTheme="minorHAnsi" w:hAnsiTheme="minorHAnsi" w:cstheme="minorHAnsi"/>
          <w:szCs w:val="24"/>
        </w:rPr>
        <w:t xml:space="preserve"> que plantea </w:t>
      </w:r>
      <w:r w:rsidR="00AE0922" w:rsidRPr="0080490E">
        <w:rPr>
          <w:rFonts w:asciiTheme="minorHAnsi" w:hAnsiTheme="minorHAnsi" w:cstheme="minorHAnsi"/>
          <w:szCs w:val="24"/>
        </w:rPr>
        <w:t>la</w:t>
      </w:r>
      <w:r w:rsidR="00EA6EC5" w:rsidRPr="0080490E">
        <w:rPr>
          <w:rFonts w:asciiTheme="minorHAnsi" w:hAnsiTheme="minorHAnsi" w:cstheme="minorHAnsi"/>
          <w:szCs w:val="24"/>
        </w:rPr>
        <w:t xml:space="preserve"> </w:t>
      </w:r>
      <w:r w:rsidR="00B03CC0" w:rsidRPr="0080490E">
        <w:rPr>
          <w:rFonts w:asciiTheme="minorHAnsi" w:hAnsiTheme="minorHAnsi" w:cstheme="minorHAnsi"/>
          <w:szCs w:val="24"/>
        </w:rPr>
        <w:t>inversión tokenizada</w:t>
      </w:r>
      <w:r w:rsidR="00EA6EC5" w:rsidRPr="0080490E">
        <w:rPr>
          <w:rFonts w:asciiTheme="minorHAnsi" w:hAnsiTheme="minorHAnsi" w:cstheme="minorHAnsi"/>
          <w:szCs w:val="24"/>
        </w:rPr>
        <w:t xml:space="preserve"> es determina</w:t>
      </w:r>
      <w:r w:rsidR="00B03CC0" w:rsidRPr="0080490E">
        <w:rPr>
          <w:rFonts w:asciiTheme="minorHAnsi" w:hAnsiTheme="minorHAnsi" w:cstheme="minorHAnsi"/>
          <w:szCs w:val="24"/>
        </w:rPr>
        <w:t>r su</w:t>
      </w:r>
      <w:r w:rsidR="00EA6EC5" w:rsidRPr="0080490E">
        <w:rPr>
          <w:rFonts w:asciiTheme="minorHAnsi" w:hAnsiTheme="minorHAnsi" w:cstheme="minorHAnsi"/>
          <w:szCs w:val="24"/>
        </w:rPr>
        <w:t xml:space="preserve"> régimen </w:t>
      </w:r>
      <w:r w:rsidR="00717290" w:rsidRPr="0080490E">
        <w:rPr>
          <w:rFonts w:asciiTheme="minorHAnsi" w:hAnsiTheme="minorHAnsi" w:cstheme="minorHAnsi"/>
          <w:szCs w:val="24"/>
        </w:rPr>
        <w:t>jurídico</w:t>
      </w:r>
      <w:r w:rsidR="00EA6EC5" w:rsidRPr="0080490E">
        <w:rPr>
          <w:rFonts w:asciiTheme="minorHAnsi" w:hAnsiTheme="minorHAnsi" w:cstheme="minorHAnsi"/>
          <w:szCs w:val="24"/>
        </w:rPr>
        <w:t xml:space="preserve"> </w:t>
      </w:r>
      <w:r w:rsidR="00B03CC0" w:rsidRPr="0080490E">
        <w:rPr>
          <w:rFonts w:asciiTheme="minorHAnsi" w:hAnsiTheme="minorHAnsi" w:cstheme="minorHAnsi"/>
          <w:szCs w:val="24"/>
        </w:rPr>
        <w:t>y esclarecer la relevancia de emplear tokens</w:t>
      </w:r>
      <w:r w:rsidR="00EA6EC5" w:rsidRPr="0080490E">
        <w:rPr>
          <w:rFonts w:asciiTheme="minorHAnsi" w:hAnsiTheme="minorHAnsi" w:cstheme="minorHAnsi"/>
          <w:szCs w:val="24"/>
        </w:rPr>
        <w:t xml:space="preserve">. </w:t>
      </w:r>
      <w:r w:rsidR="00930C03" w:rsidRPr="0080490E">
        <w:rPr>
          <w:rFonts w:asciiTheme="minorHAnsi" w:hAnsiTheme="minorHAnsi" w:cstheme="minorHAnsi"/>
          <w:szCs w:val="24"/>
        </w:rPr>
        <w:t>Es decir, ¿</w:t>
      </w:r>
      <w:r w:rsidR="00B03CC0" w:rsidRPr="0080490E">
        <w:rPr>
          <w:rFonts w:asciiTheme="minorHAnsi" w:hAnsiTheme="minorHAnsi" w:cstheme="minorHAnsi"/>
          <w:szCs w:val="24"/>
        </w:rPr>
        <w:t>i</w:t>
      </w:r>
      <w:r w:rsidR="00F66D9A" w:rsidRPr="0080490E">
        <w:rPr>
          <w:rFonts w:asciiTheme="minorHAnsi" w:hAnsiTheme="minorHAnsi" w:cstheme="minorHAnsi"/>
          <w:szCs w:val="24"/>
        </w:rPr>
        <w:t xml:space="preserve">ncide en </w:t>
      </w:r>
      <w:r w:rsidR="00B9359F" w:rsidRPr="0080490E">
        <w:rPr>
          <w:rFonts w:asciiTheme="minorHAnsi" w:hAnsiTheme="minorHAnsi" w:cstheme="minorHAnsi"/>
          <w:szCs w:val="24"/>
        </w:rPr>
        <w:t>su</w:t>
      </w:r>
      <w:r w:rsidR="00F66D9A" w:rsidRPr="0080490E">
        <w:rPr>
          <w:rFonts w:asciiTheme="minorHAnsi" w:hAnsiTheme="minorHAnsi" w:cstheme="minorHAnsi"/>
          <w:szCs w:val="24"/>
        </w:rPr>
        <w:t xml:space="preserve"> regulación </w:t>
      </w:r>
      <w:r w:rsidR="00ED7EA9" w:rsidRPr="0080490E">
        <w:rPr>
          <w:rFonts w:asciiTheme="minorHAnsi" w:hAnsiTheme="minorHAnsi" w:cstheme="minorHAnsi"/>
          <w:szCs w:val="24"/>
        </w:rPr>
        <w:t xml:space="preserve">el empleo de </w:t>
      </w:r>
      <w:r w:rsidR="00717290" w:rsidRPr="0080490E">
        <w:rPr>
          <w:rFonts w:asciiTheme="minorHAnsi" w:hAnsiTheme="minorHAnsi" w:cstheme="minorHAnsi"/>
          <w:szCs w:val="24"/>
        </w:rPr>
        <w:t xml:space="preserve">la </w:t>
      </w:r>
      <w:r w:rsidR="00F66D9A" w:rsidRPr="0080490E">
        <w:rPr>
          <w:rFonts w:asciiTheme="minorHAnsi" w:hAnsiTheme="minorHAnsi" w:cstheme="minorHAnsi"/>
          <w:szCs w:val="24"/>
        </w:rPr>
        <w:t>tecnología blockchain</w:t>
      </w:r>
      <w:r w:rsidR="00B03CC0" w:rsidRPr="0080490E">
        <w:rPr>
          <w:rFonts w:asciiTheme="minorHAnsi" w:hAnsiTheme="minorHAnsi" w:cstheme="minorHAnsi"/>
          <w:szCs w:val="24"/>
        </w:rPr>
        <w:t xml:space="preserve"> o es una realidad jurídicamente inocua</w:t>
      </w:r>
      <w:r w:rsidR="00F66D9A" w:rsidRPr="0080490E">
        <w:rPr>
          <w:rFonts w:asciiTheme="minorHAnsi" w:hAnsiTheme="minorHAnsi" w:cstheme="minorHAnsi"/>
          <w:szCs w:val="24"/>
        </w:rPr>
        <w:t>?</w:t>
      </w:r>
    </w:p>
    <w:p w14:paraId="2EE72C51" w14:textId="403E1853" w:rsidR="00AC05D5" w:rsidRPr="0080490E" w:rsidRDefault="00AC05D5"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La vertiente legal de la inversión puede desarrollarse a través de diversas figuras contractuales, como los contratos de cuenta en participación o los préstamos participativos</w:t>
      </w:r>
      <w:r w:rsidR="00D36A46" w:rsidRPr="0080490E">
        <w:rPr>
          <w:rFonts w:asciiTheme="minorHAnsi" w:hAnsiTheme="minorHAnsi" w:cstheme="minorHAnsi"/>
          <w:szCs w:val="24"/>
        </w:rPr>
        <w:t xml:space="preserve"> que</w:t>
      </w:r>
      <w:r w:rsidRPr="0080490E">
        <w:rPr>
          <w:rFonts w:asciiTheme="minorHAnsi" w:hAnsiTheme="minorHAnsi" w:cstheme="minorHAnsi"/>
          <w:szCs w:val="24"/>
        </w:rPr>
        <w:t xml:space="preserve"> constituyen la relación subyacente objeto de tokenización. No obstante, la posible oferta masiva de tokens por parte del promotor, su naturaleza inversora y función financia</w:t>
      </w:r>
      <w:r w:rsidR="009A73DB" w:rsidRPr="0080490E">
        <w:rPr>
          <w:rFonts w:asciiTheme="minorHAnsi" w:hAnsiTheme="minorHAnsi" w:cstheme="minorHAnsi"/>
          <w:szCs w:val="24"/>
        </w:rPr>
        <w:t>dora</w:t>
      </w:r>
      <w:r w:rsidR="005B1A66" w:rsidRPr="0080490E">
        <w:rPr>
          <w:rFonts w:asciiTheme="minorHAnsi" w:hAnsiTheme="minorHAnsi" w:cstheme="minorHAnsi"/>
          <w:szCs w:val="24"/>
        </w:rPr>
        <w:t>,</w:t>
      </w:r>
      <w:r w:rsidRPr="0080490E">
        <w:rPr>
          <w:rFonts w:asciiTheme="minorHAnsi" w:hAnsiTheme="minorHAnsi" w:cstheme="minorHAnsi"/>
          <w:szCs w:val="24"/>
        </w:rPr>
        <w:t xml:space="preserve"> </w:t>
      </w:r>
      <w:r w:rsidR="009A73DB" w:rsidRPr="0080490E">
        <w:rPr>
          <w:rFonts w:asciiTheme="minorHAnsi" w:hAnsiTheme="minorHAnsi" w:cstheme="minorHAnsi"/>
          <w:szCs w:val="24"/>
        </w:rPr>
        <w:t>junto con la inherente transmisibilidad de los criptoactivos, hacen necesario determinar la posible consideración de los tokens como valores negociables</w:t>
      </w:r>
      <w:r w:rsidRPr="0080490E">
        <w:rPr>
          <w:rFonts w:asciiTheme="minorHAnsi" w:hAnsiTheme="minorHAnsi" w:cstheme="minorHAnsi"/>
          <w:szCs w:val="24"/>
        </w:rPr>
        <w:t>.</w:t>
      </w:r>
    </w:p>
    <w:p w14:paraId="3A87DDFE" w14:textId="1B82FF14" w:rsidR="00173675" w:rsidRPr="0080490E" w:rsidRDefault="00251038"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E</w:t>
      </w:r>
      <w:r w:rsidR="00AC05D5" w:rsidRPr="0080490E">
        <w:rPr>
          <w:rFonts w:asciiTheme="minorHAnsi" w:hAnsiTheme="minorHAnsi" w:cstheme="minorHAnsi"/>
          <w:szCs w:val="24"/>
        </w:rPr>
        <w:t xml:space="preserve">n cuanto a la </w:t>
      </w:r>
      <w:r w:rsidR="00153D39" w:rsidRPr="0080490E">
        <w:rPr>
          <w:rFonts w:asciiTheme="minorHAnsi" w:hAnsiTheme="minorHAnsi" w:cstheme="minorHAnsi"/>
          <w:szCs w:val="24"/>
        </w:rPr>
        <w:t>forma</w:t>
      </w:r>
      <w:r w:rsidR="00AC05D5" w:rsidRPr="0080490E">
        <w:rPr>
          <w:rFonts w:asciiTheme="minorHAnsi" w:hAnsiTheme="minorHAnsi" w:cstheme="minorHAnsi"/>
          <w:szCs w:val="24"/>
        </w:rPr>
        <w:t xml:space="preserve"> de contratación, las operaciones de adquisición de tokens a través de </w:t>
      </w:r>
      <w:r w:rsidR="00153D39" w:rsidRPr="0080490E">
        <w:rPr>
          <w:rFonts w:asciiTheme="minorHAnsi" w:hAnsiTheme="minorHAnsi" w:cstheme="minorHAnsi"/>
          <w:szCs w:val="24"/>
        </w:rPr>
        <w:t>acuerdos</w:t>
      </w:r>
      <w:r w:rsidR="00AC05D5" w:rsidRPr="0080490E">
        <w:rPr>
          <w:rFonts w:asciiTheme="minorHAnsi" w:hAnsiTheme="minorHAnsi" w:cstheme="minorHAnsi"/>
          <w:szCs w:val="24"/>
        </w:rPr>
        <w:t xml:space="preserve"> </w:t>
      </w:r>
      <w:r w:rsidRPr="0080490E">
        <w:rPr>
          <w:rFonts w:asciiTheme="minorHAnsi" w:hAnsiTheme="minorHAnsi" w:cstheme="minorHAnsi"/>
          <w:szCs w:val="24"/>
        </w:rPr>
        <w:t xml:space="preserve">suscritos </w:t>
      </w:r>
      <w:r w:rsidR="004063FC" w:rsidRPr="0080490E">
        <w:rPr>
          <w:rFonts w:asciiTheme="minorHAnsi" w:hAnsiTheme="minorHAnsi" w:cstheme="minorHAnsi"/>
          <w:szCs w:val="24"/>
        </w:rPr>
        <w:t>en</w:t>
      </w:r>
      <w:r w:rsidRPr="0080490E">
        <w:rPr>
          <w:rFonts w:asciiTheme="minorHAnsi" w:hAnsiTheme="minorHAnsi" w:cstheme="minorHAnsi"/>
          <w:szCs w:val="24"/>
        </w:rPr>
        <w:t xml:space="preserve"> una plataforma </w:t>
      </w:r>
      <w:proofErr w:type="spellStart"/>
      <w:r w:rsidRPr="0080490E">
        <w:rPr>
          <w:rFonts w:asciiTheme="minorHAnsi" w:hAnsiTheme="minorHAnsi" w:cstheme="minorHAnsi"/>
          <w:i/>
          <w:iCs/>
          <w:szCs w:val="24"/>
        </w:rPr>
        <w:t>on</w:t>
      </w:r>
      <w:proofErr w:type="spellEnd"/>
      <w:r w:rsidRPr="0080490E">
        <w:rPr>
          <w:rFonts w:asciiTheme="minorHAnsi" w:hAnsiTheme="minorHAnsi" w:cstheme="minorHAnsi"/>
          <w:i/>
          <w:iCs/>
          <w:szCs w:val="24"/>
        </w:rPr>
        <w:t xml:space="preserve"> line</w:t>
      </w:r>
      <w:r w:rsidRPr="0080490E">
        <w:rPr>
          <w:rFonts w:asciiTheme="minorHAnsi" w:hAnsiTheme="minorHAnsi" w:cstheme="minorHAnsi"/>
          <w:szCs w:val="24"/>
        </w:rPr>
        <w:t xml:space="preserve"> implican </w:t>
      </w:r>
      <w:r w:rsidR="00AC05D5" w:rsidRPr="0080490E">
        <w:rPr>
          <w:rFonts w:asciiTheme="minorHAnsi" w:hAnsiTheme="minorHAnsi" w:cstheme="minorHAnsi"/>
          <w:szCs w:val="24"/>
        </w:rPr>
        <w:t xml:space="preserve">la formalización del </w:t>
      </w:r>
      <w:r w:rsidR="00153D39" w:rsidRPr="0080490E">
        <w:rPr>
          <w:rFonts w:asciiTheme="minorHAnsi" w:hAnsiTheme="minorHAnsi" w:cstheme="minorHAnsi"/>
          <w:szCs w:val="24"/>
        </w:rPr>
        <w:t>contrato</w:t>
      </w:r>
      <w:r w:rsidR="00AC05D5" w:rsidRPr="0080490E">
        <w:rPr>
          <w:rFonts w:asciiTheme="minorHAnsi" w:hAnsiTheme="minorHAnsi" w:cstheme="minorHAnsi"/>
          <w:szCs w:val="24"/>
        </w:rPr>
        <w:t xml:space="preserve"> en forma electrónica</w:t>
      </w:r>
      <w:r w:rsidR="00D4035A" w:rsidRPr="0080490E">
        <w:rPr>
          <w:rFonts w:asciiTheme="minorHAnsi" w:hAnsiTheme="minorHAnsi" w:cstheme="minorHAnsi"/>
          <w:szCs w:val="24"/>
        </w:rPr>
        <w:t xml:space="preserve">. Conforme al artículo 23.1 de la Ley 34/2002, de 11 de julio, de servicios de la sociedad de la información y de comercio electrónico (LSSI, en adelante) «los contratos celebrados por vía electrónica producirán todos los efectos previstos por el ordenamiento jurídico, cuando concurran el consentimiento y los demás requisitos necesarios para su validez». Respecto </w:t>
      </w:r>
      <w:r w:rsidR="0017660A" w:rsidRPr="0080490E">
        <w:rPr>
          <w:rFonts w:asciiTheme="minorHAnsi" w:hAnsiTheme="minorHAnsi" w:cstheme="minorHAnsi"/>
          <w:szCs w:val="24"/>
        </w:rPr>
        <w:t xml:space="preserve">a </w:t>
      </w:r>
      <w:r w:rsidR="00D4035A" w:rsidRPr="0080490E">
        <w:rPr>
          <w:rFonts w:asciiTheme="minorHAnsi" w:hAnsiTheme="minorHAnsi" w:cstheme="minorHAnsi"/>
          <w:szCs w:val="24"/>
        </w:rPr>
        <w:t xml:space="preserve">la prestación del consentimiento contractual </w:t>
      </w:r>
      <w:r w:rsidR="009D47A0" w:rsidRPr="0080490E">
        <w:rPr>
          <w:rFonts w:asciiTheme="minorHAnsi" w:hAnsiTheme="minorHAnsi" w:cstheme="minorHAnsi"/>
          <w:szCs w:val="24"/>
        </w:rPr>
        <w:t>los</w:t>
      </w:r>
      <w:r w:rsidR="00D4035A" w:rsidRPr="0080490E">
        <w:rPr>
          <w:rFonts w:asciiTheme="minorHAnsi" w:hAnsiTheme="minorHAnsi" w:cstheme="minorHAnsi"/>
          <w:szCs w:val="24"/>
        </w:rPr>
        <w:t xml:space="preserve"> artículo</w:t>
      </w:r>
      <w:r w:rsidR="009D47A0" w:rsidRPr="0080490E">
        <w:rPr>
          <w:rFonts w:asciiTheme="minorHAnsi" w:hAnsiTheme="minorHAnsi" w:cstheme="minorHAnsi"/>
          <w:szCs w:val="24"/>
        </w:rPr>
        <w:t>s</w:t>
      </w:r>
      <w:r w:rsidR="00D4035A" w:rsidRPr="0080490E">
        <w:rPr>
          <w:rFonts w:asciiTheme="minorHAnsi" w:hAnsiTheme="minorHAnsi" w:cstheme="minorHAnsi"/>
          <w:szCs w:val="24"/>
        </w:rPr>
        <w:t xml:space="preserve"> 1262.III CC </w:t>
      </w:r>
      <w:r w:rsidR="009D47A0" w:rsidRPr="0080490E">
        <w:rPr>
          <w:rFonts w:asciiTheme="minorHAnsi" w:hAnsiTheme="minorHAnsi" w:cstheme="minorHAnsi"/>
          <w:szCs w:val="24"/>
        </w:rPr>
        <w:t xml:space="preserve">y 54.II </w:t>
      </w:r>
      <w:proofErr w:type="spellStart"/>
      <w:r w:rsidR="009D47A0" w:rsidRPr="0080490E">
        <w:rPr>
          <w:rFonts w:asciiTheme="minorHAnsi" w:hAnsiTheme="minorHAnsi" w:cstheme="minorHAnsi"/>
          <w:szCs w:val="24"/>
        </w:rPr>
        <w:t>Ccom</w:t>
      </w:r>
      <w:proofErr w:type="spellEnd"/>
      <w:r w:rsidR="009D47A0" w:rsidRPr="0080490E">
        <w:rPr>
          <w:rFonts w:asciiTheme="minorHAnsi" w:hAnsiTheme="minorHAnsi" w:cstheme="minorHAnsi"/>
          <w:szCs w:val="24"/>
        </w:rPr>
        <w:t xml:space="preserve"> </w:t>
      </w:r>
      <w:r w:rsidR="00D4035A" w:rsidRPr="0080490E">
        <w:rPr>
          <w:rFonts w:asciiTheme="minorHAnsi" w:hAnsiTheme="minorHAnsi" w:cstheme="minorHAnsi"/>
          <w:szCs w:val="24"/>
        </w:rPr>
        <w:t>señala</w:t>
      </w:r>
      <w:r w:rsidR="009D47A0" w:rsidRPr="0080490E">
        <w:rPr>
          <w:rFonts w:asciiTheme="minorHAnsi" w:hAnsiTheme="minorHAnsi" w:cstheme="minorHAnsi"/>
          <w:szCs w:val="24"/>
        </w:rPr>
        <w:t>n</w:t>
      </w:r>
      <w:r w:rsidR="00D4035A" w:rsidRPr="0080490E">
        <w:rPr>
          <w:rFonts w:asciiTheme="minorHAnsi" w:hAnsiTheme="minorHAnsi" w:cstheme="minorHAnsi"/>
          <w:szCs w:val="24"/>
        </w:rPr>
        <w:t xml:space="preserve"> que «en los contratos celebrados mediante </w:t>
      </w:r>
      <w:r w:rsidR="00D4035A" w:rsidRPr="0080490E">
        <w:rPr>
          <w:rFonts w:asciiTheme="minorHAnsi" w:hAnsiTheme="minorHAnsi" w:cstheme="minorHAnsi"/>
          <w:szCs w:val="24"/>
        </w:rPr>
        <w:lastRenderedPageBreak/>
        <w:t>dispositivos automáticos hay consentimiento desde que se manifiesta la aceptación»</w:t>
      </w:r>
      <w:r w:rsidR="009D47A0" w:rsidRPr="0080490E">
        <w:rPr>
          <w:rStyle w:val="Refdenotaalpie"/>
          <w:rFonts w:asciiTheme="minorHAnsi" w:hAnsiTheme="minorHAnsi" w:cstheme="minorHAnsi"/>
          <w:szCs w:val="24"/>
        </w:rPr>
        <w:footnoteReference w:id="37"/>
      </w:r>
      <w:r w:rsidR="00D4035A" w:rsidRPr="0080490E">
        <w:rPr>
          <w:rFonts w:asciiTheme="minorHAnsi" w:hAnsiTheme="minorHAnsi" w:cstheme="minorHAnsi"/>
          <w:szCs w:val="24"/>
        </w:rPr>
        <w:t xml:space="preserve">. </w:t>
      </w:r>
      <w:r w:rsidR="00A54458" w:rsidRPr="0080490E">
        <w:rPr>
          <w:rFonts w:asciiTheme="minorHAnsi" w:hAnsiTheme="minorHAnsi" w:cstheme="minorHAnsi"/>
          <w:szCs w:val="24"/>
        </w:rPr>
        <w:t>Por ello, el contrato de inversión suscrito de manera electrónica a través de una página web es válido y puede ser el medio para la adquisición de tokens. En estos casos, la entidad que busca financiación emite una oferta contractual a través de una plataforma digital, dirigida a una pluralidad indeterminada de destinatarios, en la que se recogen los elementos esenciales del contrato. La concurrencia en línea de la oferta y la aceptación determina la existencia y obligatoriedad del contrato, sin que sean necesarias comunicaciones posteriores o la notificación de la recepción de la aceptación</w:t>
      </w:r>
      <w:r w:rsidR="008A1CDD" w:rsidRPr="0080490E">
        <w:rPr>
          <w:rStyle w:val="Refdenotaalpie"/>
          <w:rFonts w:asciiTheme="minorHAnsi" w:hAnsiTheme="minorHAnsi" w:cstheme="minorHAnsi"/>
          <w:szCs w:val="24"/>
        </w:rPr>
        <w:footnoteReference w:id="38"/>
      </w:r>
      <w:r w:rsidR="008A1CDD" w:rsidRPr="0080490E">
        <w:rPr>
          <w:rFonts w:asciiTheme="minorHAnsi" w:hAnsiTheme="minorHAnsi" w:cstheme="minorHAnsi"/>
          <w:szCs w:val="24"/>
        </w:rPr>
        <w:t>.</w:t>
      </w:r>
    </w:p>
    <w:p w14:paraId="6F59E7D4" w14:textId="0A01F825" w:rsidR="002A3A99" w:rsidRPr="0080490E" w:rsidRDefault="001B71F7"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En todo caso, conforme al artículo 27 LSSI </w:t>
      </w:r>
      <w:r w:rsidR="00173675" w:rsidRPr="0080490E">
        <w:rPr>
          <w:rFonts w:asciiTheme="minorHAnsi" w:hAnsiTheme="minorHAnsi" w:cstheme="minorHAnsi"/>
          <w:szCs w:val="24"/>
        </w:rPr>
        <w:t xml:space="preserve">el prestador que realice actividades de contratación electrónica tendrá la obligación de poner a disposición del destinatario, antes de </w:t>
      </w:r>
      <w:r w:rsidR="00110329" w:rsidRPr="0080490E">
        <w:rPr>
          <w:rFonts w:asciiTheme="minorHAnsi" w:hAnsiTheme="minorHAnsi" w:cstheme="minorHAnsi"/>
          <w:szCs w:val="24"/>
        </w:rPr>
        <w:t>la</w:t>
      </w:r>
      <w:r w:rsidR="00173675" w:rsidRPr="0080490E">
        <w:rPr>
          <w:rFonts w:asciiTheme="minorHAnsi" w:hAnsiTheme="minorHAnsi" w:cstheme="minorHAnsi"/>
          <w:szCs w:val="24"/>
        </w:rPr>
        <w:t xml:space="preserve"> contratación, información clara, comprensible e inequívoca sobre los trámites necesarios para </w:t>
      </w:r>
      <w:r w:rsidR="00110329" w:rsidRPr="0080490E">
        <w:rPr>
          <w:rFonts w:asciiTheme="minorHAnsi" w:hAnsiTheme="minorHAnsi" w:cstheme="minorHAnsi"/>
          <w:szCs w:val="24"/>
        </w:rPr>
        <w:t xml:space="preserve">su </w:t>
      </w:r>
      <w:r w:rsidR="00173675" w:rsidRPr="0080490E">
        <w:rPr>
          <w:rFonts w:asciiTheme="minorHAnsi" w:hAnsiTheme="minorHAnsi" w:cstheme="minorHAnsi"/>
          <w:szCs w:val="24"/>
        </w:rPr>
        <w:t>celebra</w:t>
      </w:r>
      <w:r w:rsidR="007A7092" w:rsidRPr="0080490E">
        <w:rPr>
          <w:rFonts w:asciiTheme="minorHAnsi" w:hAnsiTheme="minorHAnsi" w:cstheme="minorHAnsi"/>
          <w:szCs w:val="24"/>
        </w:rPr>
        <w:t>ción</w:t>
      </w:r>
      <w:r w:rsidR="00E9431F" w:rsidRPr="0080490E">
        <w:rPr>
          <w:rStyle w:val="Refdenotaalpie"/>
          <w:rFonts w:asciiTheme="minorHAnsi" w:hAnsiTheme="minorHAnsi" w:cstheme="minorHAnsi"/>
          <w:szCs w:val="24"/>
        </w:rPr>
        <w:footnoteReference w:id="39"/>
      </w:r>
      <w:r w:rsidR="002A3A99" w:rsidRPr="0080490E">
        <w:rPr>
          <w:rFonts w:asciiTheme="minorHAnsi" w:hAnsiTheme="minorHAnsi" w:cstheme="minorHAnsi"/>
          <w:szCs w:val="24"/>
        </w:rPr>
        <w:t>.</w:t>
      </w:r>
      <w:r w:rsidR="00110329" w:rsidRPr="0080490E">
        <w:rPr>
          <w:rFonts w:asciiTheme="minorHAnsi" w:hAnsiTheme="minorHAnsi" w:cstheme="minorHAnsi"/>
          <w:szCs w:val="24"/>
        </w:rPr>
        <w:t xml:space="preserve"> Una vez celebrado el contrato, el oferente deberá confirmar la recepción de la aceptación mediante el envío de un acuse de recibo en el plazo de veinticuatro horas (art. 28 LSSI)</w:t>
      </w:r>
      <w:r w:rsidR="00110329" w:rsidRPr="0080490E">
        <w:rPr>
          <w:rStyle w:val="Refdenotaalpie"/>
          <w:rFonts w:asciiTheme="minorHAnsi" w:hAnsiTheme="minorHAnsi" w:cstheme="minorHAnsi"/>
          <w:szCs w:val="24"/>
        </w:rPr>
        <w:footnoteReference w:id="40"/>
      </w:r>
      <w:r w:rsidR="00110329" w:rsidRPr="0080490E">
        <w:rPr>
          <w:rFonts w:asciiTheme="minorHAnsi" w:hAnsiTheme="minorHAnsi" w:cstheme="minorHAnsi"/>
          <w:szCs w:val="24"/>
        </w:rPr>
        <w:t>.</w:t>
      </w:r>
    </w:p>
    <w:p w14:paraId="4A27DAF5" w14:textId="7CBDB82E" w:rsidR="0090270F" w:rsidRPr="0080490E" w:rsidRDefault="00580218"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Otro aspecto destacable es la relación entre el contrato electrónico y el documento informativo para la inversión, o </w:t>
      </w:r>
      <w:proofErr w:type="spellStart"/>
      <w:r w:rsidRPr="0080490E">
        <w:rPr>
          <w:rFonts w:asciiTheme="minorHAnsi" w:hAnsiTheme="minorHAnsi" w:cstheme="minorHAnsi"/>
          <w:i/>
          <w:iCs/>
          <w:szCs w:val="24"/>
        </w:rPr>
        <w:t>whitepaper</w:t>
      </w:r>
      <w:proofErr w:type="spellEnd"/>
      <w:r w:rsidRPr="0080490E">
        <w:rPr>
          <w:rFonts w:asciiTheme="minorHAnsi" w:hAnsiTheme="minorHAnsi" w:cstheme="minorHAnsi"/>
          <w:szCs w:val="24"/>
        </w:rPr>
        <w:t xml:space="preserve">, que suele acompañar la emisión de tokens. </w:t>
      </w:r>
      <w:r w:rsidR="00AC0015" w:rsidRPr="0080490E">
        <w:rPr>
          <w:rFonts w:asciiTheme="minorHAnsi" w:hAnsiTheme="minorHAnsi" w:cstheme="minorHAnsi"/>
          <w:szCs w:val="24"/>
        </w:rPr>
        <w:t>E</w:t>
      </w:r>
      <w:r w:rsidRPr="0080490E">
        <w:rPr>
          <w:rFonts w:asciiTheme="minorHAnsi" w:hAnsiTheme="minorHAnsi" w:cstheme="minorHAnsi"/>
          <w:szCs w:val="24"/>
        </w:rPr>
        <w:t>ste documento tiene la función de describir el negocio financiado e informar al inversor sobre sus derechos y obligaciones, la tecnología empleada y los riesgos asociados a la operación</w:t>
      </w:r>
      <w:r w:rsidR="0090270F" w:rsidRPr="0080490E">
        <w:rPr>
          <w:rFonts w:asciiTheme="minorHAnsi" w:hAnsiTheme="minorHAnsi" w:cstheme="minorHAnsi"/>
          <w:szCs w:val="24"/>
        </w:rPr>
        <w:t xml:space="preserve">. Sin embargo, es preciso determinar si, además, el </w:t>
      </w:r>
      <w:proofErr w:type="spellStart"/>
      <w:r w:rsidR="0090270F" w:rsidRPr="0080490E">
        <w:rPr>
          <w:rFonts w:asciiTheme="minorHAnsi" w:hAnsiTheme="minorHAnsi" w:cstheme="minorHAnsi"/>
          <w:i/>
          <w:iCs/>
          <w:szCs w:val="24"/>
        </w:rPr>
        <w:t>whitepaper</w:t>
      </w:r>
      <w:proofErr w:type="spellEnd"/>
      <w:r w:rsidR="0090270F" w:rsidRPr="0080490E">
        <w:rPr>
          <w:rFonts w:asciiTheme="minorHAnsi" w:hAnsiTheme="minorHAnsi" w:cstheme="minorHAnsi"/>
          <w:szCs w:val="24"/>
        </w:rPr>
        <w:t xml:space="preserve"> presenta un contenido contractual. </w:t>
      </w:r>
      <w:r w:rsidR="001F6898" w:rsidRPr="0080490E">
        <w:rPr>
          <w:rFonts w:asciiTheme="minorHAnsi" w:hAnsiTheme="minorHAnsi" w:cstheme="minorHAnsi"/>
          <w:szCs w:val="24"/>
        </w:rPr>
        <w:t>Por ello</w:t>
      </w:r>
      <w:r w:rsidR="00757E7C" w:rsidRPr="0080490E">
        <w:rPr>
          <w:rFonts w:asciiTheme="minorHAnsi" w:hAnsiTheme="minorHAnsi" w:cstheme="minorHAnsi"/>
          <w:szCs w:val="24"/>
        </w:rPr>
        <w:t xml:space="preserve">, habría que ver si el </w:t>
      </w:r>
      <w:proofErr w:type="spellStart"/>
      <w:r w:rsidR="00757E7C" w:rsidRPr="0080490E">
        <w:rPr>
          <w:rFonts w:asciiTheme="minorHAnsi" w:hAnsiTheme="minorHAnsi" w:cstheme="minorHAnsi"/>
          <w:i/>
          <w:iCs/>
          <w:szCs w:val="24"/>
        </w:rPr>
        <w:t>whitepaper</w:t>
      </w:r>
      <w:proofErr w:type="spellEnd"/>
      <w:r w:rsidR="00757E7C" w:rsidRPr="0080490E">
        <w:rPr>
          <w:rFonts w:asciiTheme="minorHAnsi" w:hAnsiTheme="minorHAnsi" w:cstheme="minorHAnsi"/>
          <w:szCs w:val="24"/>
        </w:rPr>
        <w:t xml:space="preserve"> constituye condiciones generales de la contratación</w:t>
      </w:r>
      <w:r w:rsidR="0090270F" w:rsidRPr="0080490E">
        <w:rPr>
          <w:rFonts w:asciiTheme="minorHAnsi" w:hAnsiTheme="minorHAnsi" w:cstheme="minorHAnsi"/>
          <w:szCs w:val="24"/>
        </w:rPr>
        <w:t xml:space="preserve"> o si integra</w:t>
      </w:r>
      <w:r w:rsidR="00516D87" w:rsidRPr="0080490E">
        <w:rPr>
          <w:rFonts w:asciiTheme="minorHAnsi" w:hAnsiTheme="minorHAnsi" w:cstheme="minorHAnsi"/>
          <w:szCs w:val="24"/>
        </w:rPr>
        <w:t xml:space="preserve"> la oferta contractual</w:t>
      </w:r>
      <w:r w:rsidRPr="0080490E">
        <w:rPr>
          <w:rFonts w:asciiTheme="minorHAnsi" w:hAnsiTheme="minorHAnsi" w:cstheme="minorHAnsi"/>
          <w:szCs w:val="24"/>
        </w:rPr>
        <w:t>, conforme a</w:t>
      </w:r>
      <w:r w:rsidR="0090270F" w:rsidRPr="0080490E">
        <w:rPr>
          <w:rFonts w:asciiTheme="minorHAnsi" w:hAnsiTheme="minorHAnsi" w:cstheme="minorHAnsi"/>
          <w:szCs w:val="24"/>
        </w:rPr>
        <w:t>l artículo 61.2 TRLGDCU.</w:t>
      </w:r>
    </w:p>
    <w:p w14:paraId="22F78F4D" w14:textId="49DCF158" w:rsidR="00B257A1" w:rsidRPr="0080490E" w:rsidRDefault="0086231B"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En torno a la </w:t>
      </w:r>
      <w:proofErr w:type="spellStart"/>
      <w:r w:rsidRPr="0080490E">
        <w:rPr>
          <w:rFonts w:asciiTheme="minorHAnsi" w:hAnsiTheme="minorHAnsi" w:cstheme="minorHAnsi"/>
          <w:szCs w:val="24"/>
        </w:rPr>
        <w:t>contractualización</w:t>
      </w:r>
      <w:proofErr w:type="spellEnd"/>
      <w:r w:rsidRPr="0080490E">
        <w:rPr>
          <w:rFonts w:asciiTheme="minorHAnsi" w:hAnsiTheme="minorHAnsi" w:cstheme="minorHAnsi"/>
          <w:szCs w:val="24"/>
        </w:rPr>
        <w:t xml:space="preserve"> del </w:t>
      </w:r>
      <w:proofErr w:type="spellStart"/>
      <w:r w:rsidRPr="0080490E">
        <w:rPr>
          <w:rFonts w:asciiTheme="minorHAnsi" w:hAnsiTheme="minorHAnsi" w:cstheme="minorHAnsi"/>
          <w:i/>
          <w:iCs/>
          <w:szCs w:val="24"/>
        </w:rPr>
        <w:t>whitepaper</w:t>
      </w:r>
      <w:proofErr w:type="spellEnd"/>
      <w:r w:rsidRPr="0080490E">
        <w:rPr>
          <w:rFonts w:asciiTheme="minorHAnsi" w:hAnsiTheme="minorHAnsi" w:cstheme="minorHAnsi"/>
          <w:szCs w:val="24"/>
        </w:rPr>
        <w:t xml:space="preserve"> es necesario diferenciar la publicidad </w:t>
      </w:r>
      <w:r w:rsidR="00516D87" w:rsidRPr="0080490E">
        <w:rPr>
          <w:rFonts w:asciiTheme="minorHAnsi" w:hAnsiTheme="minorHAnsi" w:cstheme="minorHAnsi"/>
          <w:szCs w:val="24"/>
        </w:rPr>
        <w:t>de</w:t>
      </w:r>
      <w:r w:rsidRPr="0080490E">
        <w:rPr>
          <w:rFonts w:asciiTheme="minorHAnsi" w:hAnsiTheme="minorHAnsi" w:cstheme="minorHAnsi"/>
          <w:szCs w:val="24"/>
        </w:rPr>
        <w:t xml:space="preserve"> la información precontractual. </w:t>
      </w:r>
      <w:r w:rsidR="004D4D5D" w:rsidRPr="0080490E">
        <w:rPr>
          <w:rFonts w:asciiTheme="minorHAnsi" w:hAnsiTheme="minorHAnsi" w:cstheme="minorHAnsi"/>
          <w:szCs w:val="24"/>
        </w:rPr>
        <w:t xml:space="preserve">La publicidad puede considerarse como una fase del </w:t>
      </w:r>
      <w:proofErr w:type="spellStart"/>
      <w:r w:rsidR="004D4D5D" w:rsidRPr="0080490E">
        <w:rPr>
          <w:rFonts w:asciiTheme="minorHAnsi" w:hAnsiTheme="minorHAnsi" w:cstheme="minorHAnsi"/>
          <w:szCs w:val="24"/>
        </w:rPr>
        <w:t>iter</w:t>
      </w:r>
      <w:proofErr w:type="spellEnd"/>
      <w:r w:rsidR="004D4D5D" w:rsidRPr="0080490E">
        <w:rPr>
          <w:rFonts w:asciiTheme="minorHAnsi" w:hAnsiTheme="minorHAnsi" w:cstheme="minorHAnsi"/>
          <w:szCs w:val="24"/>
        </w:rPr>
        <w:t xml:space="preserve"> contractual vinculada a los tratos preliminares o como una oferta dirigida a un grupo </w:t>
      </w:r>
      <w:r w:rsidR="004D4D5D" w:rsidRPr="0080490E">
        <w:rPr>
          <w:rFonts w:asciiTheme="minorHAnsi" w:hAnsiTheme="minorHAnsi" w:cstheme="minorHAnsi"/>
          <w:szCs w:val="24"/>
        </w:rPr>
        <w:lastRenderedPageBreak/>
        <w:t xml:space="preserve">indeterminado de personas. En cambio, la información precontractual constituye un deber que se impone al profesional de facilitar el acceso a </w:t>
      </w:r>
      <w:r w:rsidR="00257EEC" w:rsidRPr="0080490E">
        <w:rPr>
          <w:rFonts w:asciiTheme="minorHAnsi" w:hAnsiTheme="minorHAnsi" w:cstheme="minorHAnsi"/>
          <w:szCs w:val="24"/>
        </w:rPr>
        <w:t xml:space="preserve">diversas cuestiones </w:t>
      </w:r>
      <w:r w:rsidR="004D4D5D" w:rsidRPr="0080490E">
        <w:rPr>
          <w:rFonts w:asciiTheme="minorHAnsi" w:hAnsiTheme="minorHAnsi" w:cstheme="minorHAnsi"/>
          <w:szCs w:val="24"/>
        </w:rPr>
        <w:t>relativa</w:t>
      </w:r>
      <w:r w:rsidR="00257EEC" w:rsidRPr="0080490E">
        <w:rPr>
          <w:rFonts w:asciiTheme="minorHAnsi" w:hAnsiTheme="minorHAnsi" w:cstheme="minorHAnsi"/>
          <w:szCs w:val="24"/>
        </w:rPr>
        <w:t>s</w:t>
      </w:r>
      <w:r w:rsidR="004D4D5D" w:rsidRPr="0080490E">
        <w:rPr>
          <w:rFonts w:asciiTheme="minorHAnsi" w:hAnsiTheme="minorHAnsi" w:cstheme="minorHAnsi"/>
          <w:szCs w:val="24"/>
        </w:rPr>
        <w:t xml:space="preserve"> a las características de los bienes o servicios contratados, así como sobre los derechos y obligaciones derivados del contrato. </w:t>
      </w:r>
      <w:r w:rsidR="00B257A1" w:rsidRPr="0080490E">
        <w:rPr>
          <w:rFonts w:asciiTheme="minorHAnsi" w:hAnsiTheme="minorHAnsi" w:cstheme="minorHAnsi"/>
          <w:szCs w:val="24"/>
        </w:rPr>
        <w:t xml:space="preserve">El artículo 61.2 TRLGDCU se refiere a la </w:t>
      </w:r>
      <w:proofErr w:type="spellStart"/>
      <w:r w:rsidR="00B257A1" w:rsidRPr="0080490E">
        <w:rPr>
          <w:rFonts w:asciiTheme="minorHAnsi" w:hAnsiTheme="minorHAnsi" w:cstheme="minorHAnsi"/>
          <w:szCs w:val="24"/>
        </w:rPr>
        <w:t>contractualización</w:t>
      </w:r>
      <w:proofErr w:type="spellEnd"/>
      <w:r w:rsidR="00B257A1" w:rsidRPr="0080490E">
        <w:rPr>
          <w:rFonts w:asciiTheme="minorHAnsi" w:hAnsiTheme="minorHAnsi" w:cstheme="minorHAnsi"/>
          <w:szCs w:val="24"/>
        </w:rPr>
        <w:t xml:space="preserve"> de la publicidad cuando señala que «el contenido de la oferta, promoción o publicidad, las prestaciones propias de cada bien o servicio, las condiciones jurídicas o económicas y garantías ofrecidas serán exigibles por los consumidores y usuarios, </w:t>
      </w:r>
      <w:proofErr w:type="spellStart"/>
      <w:r w:rsidR="00B257A1" w:rsidRPr="0080490E">
        <w:rPr>
          <w:rFonts w:asciiTheme="minorHAnsi" w:hAnsiTheme="minorHAnsi" w:cstheme="minorHAnsi"/>
          <w:szCs w:val="24"/>
        </w:rPr>
        <w:t>aún</w:t>
      </w:r>
      <w:proofErr w:type="spellEnd"/>
      <w:r w:rsidR="00B257A1" w:rsidRPr="0080490E">
        <w:rPr>
          <w:rFonts w:asciiTheme="minorHAnsi" w:hAnsiTheme="minorHAnsi" w:cstheme="minorHAnsi"/>
          <w:szCs w:val="24"/>
        </w:rPr>
        <w:t xml:space="preserve"> cuando no figuren expresamente en el contrato celebrado o en el documento o comprobante recibido y deberán tenerse en cuenta en la determinación del principio de conformidad con el contrato». </w:t>
      </w:r>
      <w:r w:rsidR="004D4D5D" w:rsidRPr="0080490E">
        <w:rPr>
          <w:rFonts w:asciiTheme="minorHAnsi" w:hAnsiTheme="minorHAnsi" w:cstheme="minorHAnsi"/>
          <w:szCs w:val="24"/>
        </w:rPr>
        <w:t xml:space="preserve">La función que desempeña este precepto es proteger las legítimas expectativas de acuerdo con las exigencias de la buena fe basadas en la confianza generada por las declaraciones </w:t>
      </w:r>
      <w:r w:rsidR="004940C0" w:rsidRPr="0080490E">
        <w:rPr>
          <w:rFonts w:asciiTheme="minorHAnsi" w:hAnsiTheme="minorHAnsi" w:cstheme="minorHAnsi"/>
          <w:szCs w:val="24"/>
        </w:rPr>
        <w:t>publicitarias,</w:t>
      </w:r>
      <w:r w:rsidR="004D4D5D" w:rsidRPr="0080490E">
        <w:rPr>
          <w:rFonts w:asciiTheme="minorHAnsi" w:hAnsiTheme="minorHAnsi" w:cstheme="minorHAnsi"/>
          <w:szCs w:val="24"/>
        </w:rPr>
        <w:t xml:space="preserve"> </w:t>
      </w:r>
      <w:r w:rsidR="00257EEC" w:rsidRPr="0080490E">
        <w:rPr>
          <w:rFonts w:asciiTheme="minorHAnsi" w:hAnsiTheme="minorHAnsi" w:cstheme="minorHAnsi"/>
          <w:szCs w:val="24"/>
        </w:rPr>
        <w:t>aun</w:t>
      </w:r>
      <w:r w:rsidR="004D4D5D" w:rsidRPr="0080490E">
        <w:rPr>
          <w:rFonts w:asciiTheme="minorHAnsi" w:hAnsiTheme="minorHAnsi" w:cstheme="minorHAnsi"/>
          <w:szCs w:val="24"/>
        </w:rPr>
        <w:t>que no est</w:t>
      </w:r>
      <w:r w:rsidR="00257EEC" w:rsidRPr="0080490E">
        <w:rPr>
          <w:rFonts w:asciiTheme="minorHAnsi" w:hAnsiTheme="minorHAnsi" w:cstheme="minorHAnsi"/>
          <w:szCs w:val="24"/>
        </w:rPr>
        <w:t>é</w:t>
      </w:r>
      <w:r w:rsidR="004D4D5D" w:rsidRPr="0080490E">
        <w:rPr>
          <w:rFonts w:asciiTheme="minorHAnsi" w:hAnsiTheme="minorHAnsi" w:cstheme="minorHAnsi"/>
          <w:szCs w:val="24"/>
        </w:rPr>
        <w:t>n reflejadas en el contrato</w:t>
      </w:r>
      <w:r w:rsidR="00B257A1" w:rsidRPr="0080490E">
        <w:rPr>
          <w:rFonts w:asciiTheme="minorHAnsi" w:hAnsiTheme="minorHAnsi" w:cstheme="minorHAnsi"/>
          <w:szCs w:val="24"/>
        </w:rPr>
        <w:t xml:space="preserve">. </w:t>
      </w:r>
      <w:r w:rsidR="004D4D5D" w:rsidRPr="0080490E">
        <w:rPr>
          <w:rFonts w:asciiTheme="minorHAnsi" w:hAnsiTheme="minorHAnsi" w:cstheme="minorHAnsi"/>
          <w:szCs w:val="24"/>
        </w:rPr>
        <w:t xml:space="preserve">Así, la publicidad se integra en el contenido </w:t>
      </w:r>
      <w:r w:rsidR="00E22653" w:rsidRPr="0080490E">
        <w:rPr>
          <w:rFonts w:asciiTheme="minorHAnsi" w:hAnsiTheme="minorHAnsi" w:cstheme="minorHAnsi"/>
          <w:szCs w:val="24"/>
        </w:rPr>
        <w:t xml:space="preserve">obligacional </w:t>
      </w:r>
      <w:r w:rsidR="004D4D5D" w:rsidRPr="0080490E">
        <w:rPr>
          <w:rFonts w:asciiTheme="minorHAnsi" w:hAnsiTheme="minorHAnsi" w:cstheme="minorHAnsi"/>
          <w:szCs w:val="24"/>
        </w:rPr>
        <w:t>del contrato, ya que es la vía a través de la cual el profesional capta la atención del consumidor. Por el contrario, la información precontractual no actúa como reclamo, sino que se refiere a la completa exposición del contenido obligacional del contrato aún por celebrar.</w:t>
      </w:r>
    </w:p>
    <w:p w14:paraId="0E4150BF" w14:textId="1926B352" w:rsidR="00B257A1" w:rsidRPr="0080490E" w:rsidRDefault="004D4D5D"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A la vista de ello, el </w:t>
      </w:r>
      <w:proofErr w:type="spellStart"/>
      <w:r w:rsidRPr="0080490E">
        <w:rPr>
          <w:rFonts w:asciiTheme="minorHAnsi" w:hAnsiTheme="minorHAnsi" w:cstheme="minorHAnsi"/>
          <w:i/>
          <w:iCs/>
          <w:szCs w:val="24"/>
        </w:rPr>
        <w:t>whitepaper</w:t>
      </w:r>
      <w:proofErr w:type="spellEnd"/>
      <w:r w:rsidRPr="0080490E">
        <w:rPr>
          <w:rFonts w:asciiTheme="minorHAnsi" w:hAnsiTheme="minorHAnsi" w:cstheme="minorHAnsi"/>
          <w:szCs w:val="24"/>
        </w:rPr>
        <w:t xml:space="preserve"> se debe incorporar a la regulación contractual debido a su carácter informativo y no meramente publicitario. </w:t>
      </w:r>
      <w:r w:rsidR="00257EEC" w:rsidRPr="0080490E">
        <w:rPr>
          <w:rFonts w:asciiTheme="minorHAnsi" w:hAnsiTheme="minorHAnsi" w:cstheme="minorHAnsi"/>
          <w:szCs w:val="24"/>
        </w:rPr>
        <w:t>E</w:t>
      </w:r>
      <w:r w:rsidRPr="0080490E">
        <w:rPr>
          <w:rFonts w:asciiTheme="minorHAnsi" w:hAnsiTheme="minorHAnsi" w:cstheme="minorHAnsi"/>
          <w:szCs w:val="24"/>
        </w:rPr>
        <w:t xml:space="preserve">l contrato de inversión y el documento informativo constituyen una unidad, de modo que el segundo se puede considerar un anexo del primero. Por consiguiente, el </w:t>
      </w:r>
      <w:proofErr w:type="spellStart"/>
      <w:r w:rsidRPr="0080490E">
        <w:rPr>
          <w:rFonts w:asciiTheme="minorHAnsi" w:hAnsiTheme="minorHAnsi" w:cstheme="minorHAnsi"/>
          <w:i/>
          <w:iCs/>
          <w:szCs w:val="24"/>
        </w:rPr>
        <w:t>whitepaper</w:t>
      </w:r>
      <w:proofErr w:type="spellEnd"/>
      <w:r w:rsidRPr="0080490E">
        <w:rPr>
          <w:rFonts w:asciiTheme="minorHAnsi" w:hAnsiTheme="minorHAnsi" w:cstheme="minorHAnsi"/>
          <w:szCs w:val="24"/>
        </w:rPr>
        <w:t xml:space="preserve"> satisface, en aquellos casos en los que el inversor sea un consumidor, el deber precontractual de información que, según el artículo 97 TRLGDCU, se impone al empresario</w:t>
      </w:r>
      <w:r w:rsidR="00257EEC" w:rsidRPr="0080490E">
        <w:rPr>
          <w:rStyle w:val="Refdenotaalpie"/>
          <w:rFonts w:asciiTheme="minorHAnsi" w:hAnsiTheme="minorHAnsi" w:cstheme="minorHAnsi"/>
          <w:szCs w:val="24"/>
        </w:rPr>
        <w:footnoteReference w:id="41"/>
      </w:r>
      <w:r w:rsidR="00257EEC" w:rsidRPr="0080490E">
        <w:rPr>
          <w:rFonts w:asciiTheme="minorHAnsi" w:hAnsiTheme="minorHAnsi" w:cstheme="minorHAnsi"/>
          <w:szCs w:val="24"/>
        </w:rPr>
        <w:t>.</w:t>
      </w:r>
    </w:p>
    <w:p w14:paraId="46F04B78" w14:textId="5112E27A" w:rsidR="00527240" w:rsidRPr="0080490E" w:rsidRDefault="00FB19AB"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Por otro lado, l</w:t>
      </w:r>
      <w:r w:rsidR="009B132F" w:rsidRPr="0080490E">
        <w:rPr>
          <w:rFonts w:asciiTheme="minorHAnsi" w:hAnsiTheme="minorHAnsi" w:cstheme="minorHAnsi"/>
          <w:szCs w:val="24"/>
        </w:rPr>
        <w:t xml:space="preserve">os </w:t>
      </w:r>
      <w:r w:rsidR="006733B4" w:rsidRPr="0080490E">
        <w:rPr>
          <w:rFonts w:asciiTheme="minorHAnsi" w:hAnsiTheme="minorHAnsi" w:cstheme="minorHAnsi"/>
          <w:szCs w:val="24"/>
        </w:rPr>
        <w:t>contratos electrónicos de inversión</w:t>
      </w:r>
      <w:r w:rsidR="009B132F" w:rsidRPr="0080490E">
        <w:rPr>
          <w:rFonts w:asciiTheme="minorHAnsi" w:hAnsiTheme="minorHAnsi" w:cstheme="minorHAnsi"/>
          <w:szCs w:val="24"/>
        </w:rPr>
        <w:t xml:space="preserve"> </w:t>
      </w:r>
      <w:r w:rsidR="00AA4E59" w:rsidRPr="0080490E">
        <w:rPr>
          <w:rFonts w:asciiTheme="minorHAnsi" w:hAnsiTheme="minorHAnsi" w:cstheme="minorHAnsi"/>
          <w:szCs w:val="24"/>
        </w:rPr>
        <w:t>tokenizada</w:t>
      </w:r>
      <w:r w:rsidR="009B132F" w:rsidRPr="0080490E">
        <w:rPr>
          <w:rFonts w:asciiTheme="minorHAnsi" w:hAnsiTheme="minorHAnsi" w:cstheme="minorHAnsi"/>
          <w:szCs w:val="24"/>
        </w:rPr>
        <w:t xml:space="preserve"> constituyen</w:t>
      </w:r>
      <w:r w:rsidR="006733B4" w:rsidRPr="0080490E">
        <w:rPr>
          <w:rFonts w:asciiTheme="minorHAnsi" w:hAnsiTheme="minorHAnsi" w:cstheme="minorHAnsi"/>
          <w:szCs w:val="24"/>
        </w:rPr>
        <w:t xml:space="preserve"> auténticos </w:t>
      </w:r>
      <w:r w:rsidR="009B132F" w:rsidRPr="0080490E">
        <w:rPr>
          <w:rFonts w:asciiTheme="minorHAnsi" w:hAnsiTheme="minorHAnsi" w:cstheme="minorHAnsi"/>
          <w:szCs w:val="24"/>
        </w:rPr>
        <w:t>contratos de adhesión</w:t>
      </w:r>
      <w:r w:rsidR="004940C0" w:rsidRPr="0080490E">
        <w:rPr>
          <w:rFonts w:asciiTheme="minorHAnsi" w:hAnsiTheme="minorHAnsi" w:cstheme="minorHAnsi"/>
          <w:szCs w:val="24"/>
        </w:rPr>
        <w:t xml:space="preserve"> con condiciones generales (</w:t>
      </w:r>
      <w:r w:rsidR="00430C68" w:rsidRPr="0080490E">
        <w:rPr>
          <w:rFonts w:asciiTheme="minorHAnsi" w:hAnsiTheme="minorHAnsi" w:cstheme="minorHAnsi"/>
          <w:szCs w:val="24"/>
        </w:rPr>
        <w:t>art.</w:t>
      </w:r>
      <w:r w:rsidR="004940C0" w:rsidRPr="0080490E">
        <w:rPr>
          <w:rFonts w:asciiTheme="minorHAnsi" w:hAnsiTheme="minorHAnsi" w:cstheme="minorHAnsi"/>
          <w:szCs w:val="24"/>
        </w:rPr>
        <w:t xml:space="preserve"> 1.1 LCGC)</w:t>
      </w:r>
      <w:r w:rsidR="009B132F" w:rsidRPr="0080490E">
        <w:rPr>
          <w:rFonts w:asciiTheme="minorHAnsi" w:hAnsiTheme="minorHAnsi" w:cstheme="minorHAnsi"/>
          <w:szCs w:val="24"/>
        </w:rPr>
        <w:t xml:space="preserve">. </w:t>
      </w:r>
      <w:r w:rsidR="00527240" w:rsidRPr="0080490E">
        <w:rPr>
          <w:rFonts w:asciiTheme="minorHAnsi" w:hAnsiTheme="minorHAnsi" w:cstheme="minorHAnsi"/>
          <w:szCs w:val="24"/>
        </w:rPr>
        <w:t xml:space="preserve">En primer término, se puede concluir que el </w:t>
      </w:r>
      <w:proofErr w:type="spellStart"/>
      <w:r w:rsidR="00527240" w:rsidRPr="0080490E">
        <w:rPr>
          <w:rFonts w:asciiTheme="minorHAnsi" w:hAnsiTheme="minorHAnsi" w:cstheme="minorHAnsi"/>
          <w:i/>
          <w:iCs/>
          <w:szCs w:val="24"/>
        </w:rPr>
        <w:t>whitepaper</w:t>
      </w:r>
      <w:proofErr w:type="spellEnd"/>
      <w:r w:rsidR="00527240" w:rsidRPr="0080490E">
        <w:rPr>
          <w:rFonts w:asciiTheme="minorHAnsi" w:hAnsiTheme="minorHAnsi" w:cstheme="minorHAnsi"/>
          <w:szCs w:val="24"/>
        </w:rPr>
        <w:t xml:space="preserve">, como anexo del contrato, presenta las características de predisposición, imposición y generalidad propias de las condiciones generales. Tampoco hay dudas sobre su naturaleza contractual, ya que su contenido determina la configuración </w:t>
      </w:r>
      <w:r w:rsidR="00CF3937" w:rsidRPr="0080490E">
        <w:rPr>
          <w:rFonts w:asciiTheme="minorHAnsi" w:hAnsiTheme="minorHAnsi" w:cstheme="minorHAnsi"/>
          <w:szCs w:val="24"/>
        </w:rPr>
        <w:t xml:space="preserve">jurídica </w:t>
      </w:r>
      <w:r w:rsidR="00527240" w:rsidRPr="0080490E">
        <w:rPr>
          <w:rFonts w:asciiTheme="minorHAnsi" w:hAnsiTheme="minorHAnsi" w:cstheme="minorHAnsi"/>
          <w:szCs w:val="24"/>
        </w:rPr>
        <w:t>de las obligaciones asumidas por las partes una vez perfeccionado el contrato.</w:t>
      </w:r>
    </w:p>
    <w:p w14:paraId="27D6E554" w14:textId="77777777" w:rsidR="004078D8" w:rsidRPr="0080490E" w:rsidRDefault="004078D8" w:rsidP="0080490E">
      <w:pPr>
        <w:spacing w:after="0" w:line="276" w:lineRule="auto"/>
        <w:ind w:firstLine="0"/>
        <w:rPr>
          <w:rFonts w:asciiTheme="minorHAnsi" w:hAnsiTheme="minorHAnsi" w:cstheme="minorHAnsi"/>
          <w:bCs/>
          <w:szCs w:val="24"/>
        </w:rPr>
      </w:pPr>
    </w:p>
    <w:p w14:paraId="6E858AD1" w14:textId="0D693737" w:rsidR="00BD6334" w:rsidRPr="0080490E" w:rsidRDefault="00BD6334" w:rsidP="0080490E">
      <w:pPr>
        <w:pStyle w:val="Ttulo2"/>
        <w:spacing w:after="0" w:line="276" w:lineRule="auto"/>
        <w:ind w:firstLine="0"/>
        <w:rPr>
          <w:rFonts w:asciiTheme="minorHAnsi" w:hAnsiTheme="minorHAnsi" w:cstheme="minorHAnsi"/>
          <w:szCs w:val="24"/>
        </w:rPr>
      </w:pPr>
      <w:r w:rsidRPr="0080490E">
        <w:rPr>
          <w:rFonts w:asciiTheme="minorHAnsi" w:hAnsiTheme="minorHAnsi" w:cstheme="minorHAnsi"/>
          <w:szCs w:val="24"/>
        </w:rPr>
        <w:t>5.</w:t>
      </w:r>
      <w:r w:rsidR="007B2A51" w:rsidRPr="0080490E">
        <w:rPr>
          <w:rFonts w:asciiTheme="minorHAnsi" w:hAnsiTheme="minorHAnsi" w:cstheme="minorHAnsi"/>
          <w:szCs w:val="24"/>
        </w:rPr>
        <w:t>2</w:t>
      </w:r>
      <w:r w:rsidRPr="0080490E">
        <w:rPr>
          <w:rFonts w:asciiTheme="minorHAnsi" w:hAnsiTheme="minorHAnsi" w:cstheme="minorHAnsi"/>
          <w:szCs w:val="24"/>
        </w:rPr>
        <w:t xml:space="preserve">. </w:t>
      </w:r>
      <w:r w:rsidR="008D2333" w:rsidRPr="0080490E">
        <w:rPr>
          <w:rFonts w:asciiTheme="minorHAnsi" w:hAnsiTheme="minorHAnsi" w:cstheme="minorHAnsi"/>
          <w:szCs w:val="24"/>
        </w:rPr>
        <w:t>El contrato de c</w:t>
      </w:r>
      <w:r w:rsidRPr="0080490E">
        <w:rPr>
          <w:rFonts w:asciiTheme="minorHAnsi" w:hAnsiTheme="minorHAnsi" w:cstheme="minorHAnsi"/>
          <w:szCs w:val="24"/>
        </w:rPr>
        <w:t>uenta en participación</w:t>
      </w:r>
    </w:p>
    <w:p w14:paraId="308C3596" w14:textId="086DBC1C" w:rsidR="00592729" w:rsidRPr="0080490E" w:rsidRDefault="00E54833"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Los artículos 239 a 242 </w:t>
      </w:r>
      <w:proofErr w:type="spellStart"/>
      <w:r w:rsidRPr="0080490E">
        <w:rPr>
          <w:rFonts w:asciiTheme="minorHAnsi" w:hAnsiTheme="minorHAnsi" w:cstheme="minorHAnsi"/>
          <w:szCs w:val="24"/>
        </w:rPr>
        <w:t>CCom</w:t>
      </w:r>
      <w:proofErr w:type="spellEnd"/>
      <w:r w:rsidRPr="0080490E">
        <w:rPr>
          <w:rFonts w:asciiTheme="minorHAnsi" w:hAnsiTheme="minorHAnsi" w:cstheme="minorHAnsi"/>
          <w:szCs w:val="24"/>
        </w:rPr>
        <w:t xml:space="preserve"> regulan e</w:t>
      </w:r>
      <w:r w:rsidR="00D5084D" w:rsidRPr="0080490E">
        <w:rPr>
          <w:rFonts w:asciiTheme="minorHAnsi" w:hAnsiTheme="minorHAnsi" w:cstheme="minorHAnsi"/>
          <w:szCs w:val="24"/>
        </w:rPr>
        <w:t xml:space="preserve">l contrato de cuenta en participación. Como </w:t>
      </w:r>
      <w:r w:rsidRPr="0080490E">
        <w:rPr>
          <w:rFonts w:asciiTheme="minorHAnsi" w:hAnsiTheme="minorHAnsi" w:cstheme="minorHAnsi"/>
          <w:szCs w:val="24"/>
        </w:rPr>
        <w:t>señala</w:t>
      </w:r>
      <w:r w:rsidR="00D5084D" w:rsidRPr="0080490E">
        <w:rPr>
          <w:rFonts w:asciiTheme="minorHAnsi" w:hAnsiTheme="minorHAnsi" w:cstheme="minorHAnsi"/>
          <w:szCs w:val="24"/>
        </w:rPr>
        <w:t xml:space="preserve"> </w:t>
      </w:r>
      <w:r w:rsidR="00D5084D" w:rsidRPr="0080490E">
        <w:rPr>
          <w:rFonts w:asciiTheme="minorHAnsi" w:hAnsiTheme="minorHAnsi" w:cstheme="minorHAnsi"/>
          <w:smallCaps/>
          <w:szCs w:val="24"/>
        </w:rPr>
        <w:t>Hernández Sainz</w:t>
      </w:r>
      <w:r w:rsidR="00D5084D" w:rsidRPr="0080490E">
        <w:rPr>
          <w:rFonts w:asciiTheme="minorHAnsi" w:hAnsiTheme="minorHAnsi" w:cstheme="minorHAnsi"/>
          <w:szCs w:val="24"/>
        </w:rPr>
        <w:t xml:space="preserve"> esta figura </w:t>
      </w:r>
      <w:r w:rsidR="001F179E" w:rsidRPr="0080490E">
        <w:rPr>
          <w:rFonts w:asciiTheme="minorHAnsi" w:hAnsiTheme="minorHAnsi" w:cstheme="minorHAnsi"/>
          <w:szCs w:val="24"/>
        </w:rPr>
        <w:t xml:space="preserve">clásica </w:t>
      </w:r>
      <w:r w:rsidR="00AD3BD3" w:rsidRPr="0080490E">
        <w:rPr>
          <w:rFonts w:asciiTheme="minorHAnsi" w:hAnsiTheme="minorHAnsi" w:cstheme="minorHAnsi"/>
          <w:szCs w:val="24"/>
        </w:rPr>
        <w:t>de</w:t>
      </w:r>
      <w:r w:rsidR="001F179E" w:rsidRPr="0080490E">
        <w:rPr>
          <w:rFonts w:asciiTheme="minorHAnsi" w:hAnsiTheme="minorHAnsi" w:cstheme="minorHAnsi"/>
          <w:szCs w:val="24"/>
        </w:rPr>
        <w:t xml:space="preserve"> nuestro ordenamiento </w:t>
      </w:r>
      <w:r w:rsidR="00592729" w:rsidRPr="0080490E">
        <w:rPr>
          <w:rFonts w:asciiTheme="minorHAnsi" w:hAnsiTheme="minorHAnsi" w:cstheme="minorHAnsi"/>
          <w:szCs w:val="24"/>
        </w:rPr>
        <w:t xml:space="preserve">«ha experimentado un nuevo renacer en los últimos años como instrumento de captación de financiación gracias a su gran plasticidad funcional que le permite adaptarse a finalidades diversas, al </w:t>
      </w:r>
      <w:r w:rsidR="00592729" w:rsidRPr="0080490E">
        <w:rPr>
          <w:rFonts w:asciiTheme="minorHAnsi" w:hAnsiTheme="minorHAnsi" w:cstheme="minorHAnsi"/>
          <w:szCs w:val="24"/>
        </w:rPr>
        <w:lastRenderedPageBreak/>
        <w:t>amparo de cierta libertad de pactos de que gozan las partes para configurar el contrato»</w:t>
      </w:r>
      <w:r w:rsidR="00592729" w:rsidRPr="0080490E">
        <w:rPr>
          <w:rStyle w:val="Refdenotaalpie"/>
          <w:rFonts w:asciiTheme="minorHAnsi" w:hAnsiTheme="minorHAnsi" w:cstheme="minorHAnsi"/>
          <w:szCs w:val="24"/>
        </w:rPr>
        <w:footnoteReference w:id="42"/>
      </w:r>
      <w:r w:rsidR="00592729" w:rsidRPr="0080490E">
        <w:rPr>
          <w:rFonts w:asciiTheme="minorHAnsi" w:hAnsiTheme="minorHAnsi" w:cstheme="minorHAnsi"/>
          <w:szCs w:val="24"/>
        </w:rPr>
        <w:t>.</w:t>
      </w:r>
    </w:p>
    <w:p w14:paraId="27A3F6FA" w14:textId="20E1AF95" w:rsidR="00907F53" w:rsidRPr="0080490E" w:rsidRDefault="00581DF0" w:rsidP="0080490E">
      <w:pPr>
        <w:spacing w:after="0" w:line="276" w:lineRule="auto"/>
        <w:ind w:firstLine="0"/>
        <w:rPr>
          <w:rFonts w:asciiTheme="minorHAnsi" w:hAnsiTheme="minorHAnsi" w:cstheme="minorHAnsi"/>
          <w:szCs w:val="24"/>
        </w:rPr>
      </w:pPr>
      <w:r w:rsidRPr="0080490E">
        <w:rPr>
          <w:rFonts w:asciiTheme="minorHAnsi" w:hAnsiTheme="minorHAnsi" w:cstheme="minorHAnsi"/>
          <w:smallCaps/>
          <w:szCs w:val="24"/>
        </w:rPr>
        <w:t xml:space="preserve">Vicent </w:t>
      </w:r>
      <w:proofErr w:type="spellStart"/>
      <w:r w:rsidRPr="0080490E">
        <w:rPr>
          <w:rFonts w:asciiTheme="minorHAnsi" w:hAnsiTheme="minorHAnsi" w:cstheme="minorHAnsi"/>
          <w:smallCaps/>
          <w:szCs w:val="24"/>
        </w:rPr>
        <w:t>Chuliá</w:t>
      </w:r>
      <w:proofErr w:type="spellEnd"/>
      <w:r w:rsidRPr="0080490E">
        <w:rPr>
          <w:rFonts w:asciiTheme="minorHAnsi" w:hAnsiTheme="minorHAnsi" w:cstheme="minorHAnsi"/>
          <w:szCs w:val="24"/>
        </w:rPr>
        <w:t xml:space="preserve"> define </w:t>
      </w:r>
      <w:r w:rsidR="00194F42" w:rsidRPr="0080490E">
        <w:rPr>
          <w:rFonts w:asciiTheme="minorHAnsi" w:hAnsiTheme="minorHAnsi" w:cstheme="minorHAnsi"/>
          <w:szCs w:val="24"/>
        </w:rPr>
        <w:t>la cuenta en participación</w:t>
      </w:r>
      <w:r w:rsidRPr="0080490E">
        <w:rPr>
          <w:rFonts w:asciiTheme="minorHAnsi" w:hAnsiTheme="minorHAnsi" w:cstheme="minorHAnsi"/>
          <w:szCs w:val="24"/>
        </w:rPr>
        <w:t xml:space="preserve"> como «un contrato bilateral de colaboración en virtud del cual un sujeto (</w:t>
      </w:r>
      <w:proofErr w:type="spellStart"/>
      <w:r w:rsidRPr="0080490E">
        <w:rPr>
          <w:rFonts w:asciiTheme="minorHAnsi" w:hAnsiTheme="minorHAnsi" w:cstheme="minorHAnsi"/>
          <w:szCs w:val="24"/>
        </w:rPr>
        <w:t>cuentapartícipe</w:t>
      </w:r>
      <w:proofErr w:type="spellEnd"/>
      <w:r w:rsidRPr="0080490E">
        <w:rPr>
          <w:rFonts w:asciiTheme="minorHAnsi" w:hAnsiTheme="minorHAnsi" w:cstheme="minorHAnsi"/>
          <w:szCs w:val="24"/>
        </w:rPr>
        <w:t xml:space="preserve"> o partícipe) hace una aportación patrimonial a un empresario o profesional (gestor), obligándose este a aplicar dicha aportación a una determinada operación o actividad de forma independiente y en nombre propio, y a informar, rendir cuentas y dar participación al partícipe en las ganancias y pérdidas que resulten, limitando las pérdidas de este al importe de la aportación</w:t>
      </w:r>
      <w:r w:rsidR="00CF29C7" w:rsidRPr="0080490E">
        <w:rPr>
          <w:rFonts w:asciiTheme="minorHAnsi" w:hAnsiTheme="minorHAnsi" w:cstheme="minorHAnsi"/>
          <w:szCs w:val="24"/>
        </w:rPr>
        <w:t>»</w:t>
      </w:r>
      <w:r w:rsidR="00CF29C7" w:rsidRPr="0080490E">
        <w:rPr>
          <w:rStyle w:val="Refdenotaalpie"/>
          <w:rFonts w:asciiTheme="minorHAnsi" w:hAnsiTheme="minorHAnsi" w:cstheme="minorHAnsi"/>
          <w:szCs w:val="24"/>
        </w:rPr>
        <w:footnoteReference w:id="43"/>
      </w:r>
      <w:r w:rsidRPr="0080490E">
        <w:rPr>
          <w:rFonts w:asciiTheme="minorHAnsi" w:hAnsiTheme="minorHAnsi" w:cstheme="minorHAnsi"/>
          <w:szCs w:val="24"/>
        </w:rPr>
        <w:t xml:space="preserve">. </w:t>
      </w:r>
      <w:r w:rsidR="00BC05B5" w:rsidRPr="0080490E">
        <w:rPr>
          <w:rFonts w:asciiTheme="minorHAnsi" w:hAnsiTheme="minorHAnsi" w:cstheme="minorHAnsi"/>
          <w:szCs w:val="24"/>
        </w:rPr>
        <w:t xml:space="preserve">Se trata, por tanto, de un contrato de colaboración económica e inversión en el que el </w:t>
      </w:r>
      <w:proofErr w:type="spellStart"/>
      <w:r w:rsidR="00BC05B5" w:rsidRPr="0080490E">
        <w:rPr>
          <w:rFonts w:asciiTheme="minorHAnsi" w:hAnsiTheme="minorHAnsi" w:cstheme="minorHAnsi"/>
          <w:szCs w:val="24"/>
        </w:rPr>
        <w:t>cuentapartícipe</w:t>
      </w:r>
      <w:proofErr w:type="spellEnd"/>
      <w:r w:rsidR="00BC05B5" w:rsidRPr="0080490E">
        <w:rPr>
          <w:rFonts w:asciiTheme="minorHAnsi" w:hAnsiTheme="minorHAnsi" w:cstheme="minorHAnsi"/>
          <w:szCs w:val="24"/>
        </w:rPr>
        <w:t xml:space="preserve"> aporta capital para financiar un proyecto del gestor, a cambio de participar en los potenciales beneficios de dicha actividad, sin intervenir en su gestión ni arriesgar más capital que el aportado</w:t>
      </w:r>
      <w:r w:rsidR="00AB1E31" w:rsidRPr="0080490E">
        <w:rPr>
          <w:rFonts w:asciiTheme="minorHAnsi" w:hAnsiTheme="minorHAnsi" w:cstheme="minorHAnsi"/>
          <w:szCs w:val="24"/>
        </w:rPr>
        <w:t>.</w:t>
      </w:r>
      <w:r w:rsidR="009E7A24" w:rsidRPr="0080490E">
        <w:rPr>
          <w:rFonts w:asciiTheme="minorHAnsi" w:hAnsiTheme="minorHAnsi" w:cstheme="minorHAnsi"/>
          <w:szCs w:val="24"/>
        </w:rPr>
        <w:t xml:space="preserve"> </w:t>
      </w:r>
      <w:r w:rsidR="00907F53" w:rsidRPr="0080490E">
        <w:rPr>
          <w:rFonts w:asciiTheme="minorHAnsi" w:hAnsiTheme="minorHAnsi" w:cstheme="minorHAnsi"/>
          <w:szCs w:val="24"/>
        </w:rPr>
        <w:t xml:space="preserve">No se trata de un contrato plurilateral sino </w:t>
      </w:r>
      <w:r w:rsidR="00543CEF" w:rsidRPr="0080490E">
        <w:rPr>
          <w:rFonts w:asciiTheme="minorHAnsi" w:hAnsiTheme="minorHAnsi" w:cstheme="minorHAnsi"/>
          <w:szCs w:val="24"/>
        </w:rPr>
        <w:t xml:space="preserve">de </w:t>
      </w:r>
      <w:r w:rsidR="00907F53" w:rsidRPr="0080490E">
        <w:rPr>
          <w:rFonts w:asciiTheme="minorHAnsi" w:hAnsiTheme="minorHAnsi" w:cstheme="minorHAnsi"/>
          <w:szCs w:val="24"/>
        </w:rPr>
        <w:t>un contrato de colaboración bilateral, independientemente de que el gestor pueda celebrar una pluralidad de contratos de esta naturaleza.</w:t>
      </w:r>
    </w:p>
    <w:p w14:paraId="61B5549C" w14:textId="0D19B1E9" w:rsidR="00AB7DA5" w:rsidRPr="0080490E" w:rsidRDefault="00592729"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Frente a la dicción literal del artículo 239 </w:t>
      </w:r>
      <w:proofErr w:type="spellStart"/>
      <w:r w:rsidRPr="0080490E">
        <w:rPr>
          <w:rFonts w:asciiTheme="minorHAnsi" w:hAnsiTheme="minorHAnsi" w:cstheme="minorHAnsi"/>
          <w:szCs w:val="24"/>
        </w:rPr>
        <w:t>CCom</w:t>
      </w:r>
      <w:proofErr w:type="spellEnd"/>
      <w:r w:rsidRPr="0080490E">
        <w:rPr>
          <w:rFonts w:asciiTheme="minorHAnsi" w:hAnsiTheme="minorHAnsi" w:cstheme="minorHAnsi"/>
          <w:szCs w:val="24"/>
        </w:rPr>
        <w:t xml:space="preserve">, la </w:t>
      </w:r>
      <w:r w:rsidR="009E7A24" w:rsidRPr="0080490E">
        <w:rPr>
          <w:rFonts w:asciiTheme="minorHAnsi" w:hAnsiTheme="minorHAnsi" w:cstheme="minorHAnsi"/>
          <w:szCs w:val="24"/>
        </w:rPr>
        <w:t xml:space="preserve">jurisprudencia y la </w:t>
      </w:r>
      <w:r w:rsidR="00720FC0" w:rsidRPr="0080490E">
        <w:rPr>
          <w:rFonts w:asciiTheme="minorHAnsi" w:hAnsiTheme="minorHAnsi" w:cstheme="minorHAnsi"/>
          <w:szCs w:val="24"/>
        </w:rPr>
        <w:t xml:space="preserve">doctrina </w:t>
      </w:r>
      <w:r w:rsidRPr="0080490E">
        <w:rPr>
          <w:rFonts w:asciiTheme="minorHAnsi" w:hAnsiTheme="minorHAnsi" w:cstheme="minorHAnsi"/>
          <w:szCs w:val="24"/>
        </w:rPr>
        <w:t>rechaza</w:t>
      </w:r>
      <w:r w:rsidR="009E7A24" w:rsidRPr="0080490E">
        <w:rPr>
          <w:rFonts w:asciiTheme="minorHAnsi" w:hAnsiTheme="minorHAnsi" w:cstheme="minorHAnsi"/>
          <w:szCs w:val="24"/>
        </w:rPr>
        <w:t>n</w:t>
      </w:r>
      <w:r w:rsidRPr="0080490E">
        <w:rPr>
          <w:rFonts w:asciiTheme="minorHAnsi" w:hAnsiTheme="minorHAnsi" w:cstheme="minorHAnsi"/>
          <w:szCs w:val="24"/>
        </w:rPr>
        <w:t xml:space="preserve"> que el </w:t>
      </w:r>
      <w:proofErr w:type="spellStart"/>
      <w:r w:rsidR="00AB1E31" w:rsidRPr="0080490E">
        <w:rPr>
          <w:rFonts w:asciiTheme="minorHAnsi" w:hAnsiTheme="minorHAnsi" w:cstheme="minorHAnsi"/>
          <w:szCs w:val="24"/>
        </w:rPr>
        <w:t>cuenta</w:t>
      </w:r>
      <w:r w:rsidRPr="0080490E">
        <w:rPr>
          <w:rFonts w:asciiTheme="minorHAnsi" w:hAnsiTheme="minorHAnsi" w:cstheme="minorHAnsi"/>
          <w:szCs w:val="24"/>
        </w:rPr>
        <w:t>partícipe</w:t>
      </w:r>
      <w:proofErr w:type="spellEnd"/>
      <w:r w:rsidRPr="0080490E">
        <w:rPr>
          <w:rFonts w:asciiTheme="minorHAnsi" w:hAnsiTheme="minorHAnsi" w:cstheme="minorHAnsi"/>
          <w:szCs w:val="24"/>
        </w:rPr>
        <w:t xml:space="preserve"> deba ser un empresario o comerciante</w:t>
      </w:r>
      <w:r w:rsidRPr="0080490E">
        <w:rPr>
          <w:rStyle w:val="Refdenotaalpie"/>
          <w:rFonts w:asciiTheme="minorHAnsi" w:hAnsiTheme="minorHAnsi" w:cstheme="minorHAnsi"/>
          <w:szCs w:val="24"/>
        </w:rPr>
        <w:footnoteReference w:id="44"/>
      </w:r>
      <w:r w:rsidRPr="0080490E">
        <w:rPr>
          <w:rFonts w:asciiTheme="minorHAnsi" w:hAnsiTheme="minorHAnsi" w:cstheme="minorHAnsi"/>
          <w:szCs w:val="24"/>
        </w:rPr>
        <w:t xml:space="preserve">. </w:t>
      </w:r>
      <w:r w:rsidR="00EF777B" w:rsidRPr="0080490E">
        <w:rPr>
          <w:rFonts w:asciiTheme="minorHAnsi" w:hAnsiTheme="minorHAnsi" w:cstheme="minorHAnsi"/>
          <w:szCs w:val="24"/>
        </w:rPr>
        <w:t>Su</w:t>
      </w:r>
      <w:r w:rsidR="00D807B9" w:rsidRPr="0080490E">
        <w:rPr>
          <w:rFonts w:asciiTheme="minorHAnsi" w:hAnsiTheme="minorHAnsi" w:cstheme="minorHAnsi"/>
          <w:szCs w:val="24"/>
        </w:rPr>
        <w:t xml:space="preserve"> aportación </w:t>
      </w:r>
      <w:r w:rsidR="009B4495" w:rsidRPr="0080490E">
        <w:rPr>
          <w:rFonts w:asciiTheme="minorHAnsi" w:hAnsiTheme="minorHAnsi" w:cstheme="minorHAnsi"/>
          <w:szCs w:val="24"/>
        </w:rPr>
        <w:t xml:space="preserve">puede ser dineraria o no dineraria pero siempre </w:t>
      </w:r>
      <w:r w:rsidR="007678AA" w:rsidRPr="0080490E">
        <w:rPr>
          <w:rFonts w:asciiTheme="minorHAnsi" w:hAnsiTheme="minorHAnsi" w:cstheme="minorHAnsi"/>
          <w:szCs w:val="24"/>
        </w:rPr>
        <w:t xml:space="preserve">lo </w:t>
      </w:r>
      <w:r w:rsidR="009B4495" w:rsidRPr="0080490E">
        <w:rPr>
          <w:rFonts w:asciiTheme="minorHAnsi" w:hAnsiTheme="minorHAnsi" w:cstheme="minorHAnsi"/>
          <w:szCs w:val="24"/>
        </w:rPr>
        <w:t>será</w:t>
      </w:r>
      <w:r w:rsidR="007678AA" w:rsidRPr="0080490E">
        <w:rPr>
          <w:rFonts w:asciiTheme="minorHAnsi" w:hAnsiTheme="minorHAnsi" w:cstheme="minorHAnsi"/>
          <w:szCs w:val="24"/>
        </w:rPr>
        <w:t xml:space="preserve"> en propiedad</w:t>
      </w:r>
      <w:r w:rsidR="00543CEF" w:rsidRPr="0080490E">
        <w:rPr>
          <w:rFonts w:asciiTheme="minorHAnsi" w:hAnsiTheme="minorHAnsi" w:cstheme="minorHAnsi"/>
          <w:szCs w:val="24"/>
        </w:rPr>
        <w:t>,</w:t>
      </w:r>
      <w:r w:rsidR="00136089" w:rsidRPr="0080490E">
        <w:rPr>
          <w:rFonts w:asciiTheme="minorHAnsi" w:hAnsiTheme="minorHAnsi" w:cstheme="minorHAnsi"/>
          <w:szCs w:val="24"/>
        </w:rPr>
        <w:t xml:space="preserve"> sin que se configure un patrimonio común a los contratantes o uno separado para el gestor, ni origine una estructura societaria</w:t>
      </w:r>
      <w:r w:rsidR="009B4495" w:rsidRPr="0080490E">
        <w:rPr>
          <w:rFonts w:asciiTheme="minorHAnsi" w:hAnsiTheme="minorHAnsi" w:cstheme="minorHAnsi"/>
          <w:szCs w:val="24"/>
        </w:rPr>
        <w:t>.</w:t>
      </w:r>
    </w:p>
    <w:p w14:paraId="0DF08F7D" w14:textId="324FA04D" w:rsidR="00592729" w:rsidRPr="0080490E" w:rsidRDefault="00AB7DA5"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Por otro lado</w:t>
      </w:r>
      <w:r w:rsidR="00C16F34" w:rsidRPr="0080490E">
        <w:rPr>
          <w:rFonts w:asciiTheme="minorHAnsi" w:hAnsiTheme="minorHAnsi" w:cstheme="minorHAnsi"/>
          <w:szCs w:val="24"/>
        </w:rPr>
        <w:t>, es un contrato de inversión</w:t>
      </w:r>
      <w:r w:rsidR="00E55810" w:rsidRPr="0080490E">
        <w:rPr>
          <w:rFonts w:asciiTheme="minorHAnsi" w:hAnsiTheme="minorHAnsi" w:cstheme="minorHAnsi"/>
          <w:szCs w:val="24"/>
        </w:rPr>
        <w:t xml:space="preserve"> porque el partícipe se desprende de </w:t>
      </w:r>
      <w:r w:rsidR="00194F42" w:rsidRPr="0080490E">
        <w:rPr>
          <w:rFonts w:asciiTheme="minorHAnsi" w:hAnsiTheme="minorHAnsi" w:cstheme="minorHAnsi"/>
          <w:szCs w:val="24"/>
        </w:rPr>
        <w:t xml:space="preserve">la </w:t>
      </w:r>
      <w:r w:rsidR="00E55810" w:rsidRPr="0080490E">
        <w:rPr>
          <w:rFonts w:asciiTheme="minorHAnsi" w:hAnsiTheme="minorHAnsi" w:cstheme="minorHAnsi"/>
          <w:szCs w:val="24"/>
        </w:rPr>
        <w:t>propiedad de lo aportado y asume el riesgo del negocio «de sus resultados prósperos o adversos» (</w:t>
      </w:r>
      <w:r w:rsidR="00430C68" w:rsidRPr="0080490E">
        <w:rPr>
          <w:rFonts w:asciiTheme="minorHAnsi" w:hAnsiTheme="minorHAnsi" w:cstheme="minorHAnsi"/>
          <w:szCs w:val="24"/>
        </w:rPr>
        <w:t>art.</w:t>
      </w:r>
      <w:r w:rsidR="00E55810" w:rsidRPr="0080490E">
        <w:rPr>
          <w:rFonts w:asciiTheme="minorHAnsi" w:hAnsiTheme="minorHAnsi" w:cstheme="minorHAnsi"/>
          <w:szCs w:val="24"/>
        </w:rPr>
        <w:t xml:space="preserve"> 239 </w:t>
      </w:r>
      <w:proofErr w:type="spellStart"/>
      <w:r w:rsidR="00E55810" w:rsidRPr="0080490E">
        <w:rPr>
          <w:rFonts w:asciiTheme="minorHAnsi" w:hAnsiTheme="minorHAnsi" w:cstheme="minorHAnsi"/>
          <w:szCs w:val="24"/>
        </w:rPr>
        <w:t>CCom</w:t>
      </w:r>
      <w:proofErr w:type="spellEnd"/>
      <w:r w:rsidR="00E55810" w:rsidRPr="0080490E">
        <w:rPr>
          <w:rFonts w:asciiTheme="minorHAnsi" w:hAnsiTheme="minorHAnsi" w:cstheme="minorHAnsi"/>
          <w:szCs w:val="24"/>
        </w:rPr>
        <w:t>)</w:t>
      </w:r>
      <w:r w:rsidR="00C16F34" w:rsidRPr="0080490E">
        <w:rPr>
          <w:rFonts w:asciiTheme="minorHAnsi" w:hAnsiTheme="minorHAnsi" w:cstheme="minorHAnsi"/>
          <w:szCs w:val="24"/>
        </w:rPr>
        <w:t xml:space="preserve">. </w:t>
      </w:r>
      <w:r w:rsidR="005E63F4" w:rsidRPr="0080490E">
        <w:rPr>
          <w:rFonts w:asciiTheme="minorHAnsi" w:hAnsiTheme="minorHAnsi" w:cstheme="minorHAnsi"/>
          <w:szCs w:val="24"/>
        </w:rPr>
        <w:t xml:space="preserve">Esta cuestión permite distinguir esta figura jurídica de los contratos de préstamo, ya que el gestor no se convierte en deudor del </w:t>
      </w:r>
      <w:proofErr w:type="spellStart"/>
      <w:r w:rsidR="005E63F4" w:rsidRPr="0080490E">
        <w:rPr>
          <w:rFonts w:asciiTheme="minorHAnsi" w:hAnsiTheme="minorHAnsi" w:cstheme="minorHAnsi"/>
          <w:szCs w:val="24"/>
        </w:rPr>
        <w:t>cuentapartícipe</w:t>
      </w:r>
      <w:proofErr w:type="spellEnd"/>
      <w:r w:rsidR="005E63F4" w:rsidRPr="0080490E">
        <w:rPr>
          <w:rFonts w:asciiTheme="minorHAnsi" w:hAnsiTheme="minorHAnsi" w:cstheme="minorHAnsi"/>
          <w:szCs w:val="24"/>
        </w:rPr>
        <w:t xml:space="preserve"> por la cantidad aportada sino </w:t>
      </w:r>
      <w:r w:rsidR="00EF777B" w:rsidRPr="0080490E">
        <w:rPr>
          <w:rFonts w:asciiTheme="minorHAnsi" w:hAnsiTheme="minorHAnsi" w:cstheme="minorHAnsi"/>
          <w:szCs w:val="24"/>
        </w:rPr>
        <w:t>de las</w:t>
      </w:r>
      <w:r w:rsidR="00136089" w:rsidRPr="0080490E">
        <w:rPr>
          <w:rFonts w:asciiTheme="minorHAnsi" w:hAnsiTheme="minorHAnsi" w:cstheme="minorHAnsi"/>
          <w:szCs w:val="24"/>
        </w:rPr>
        <w:t xml:space="preserve"> resultas</w:t>
      </w:r>
      <w:r w:rsidR="00EF777B" w:rsidRPr="0080490E">
        <w:rPr>
          <w:rFonts w:asciiTheme="minorHAnsi" w:hAnsiTheme="minorHAnsi" w:cstheme="minorHAnsi"/>
          <w:szCs w:val="24"/>
        </w:rPr>
        <w:t xml:space="preserve"> que</w:t>
      </w:r>
      <w:r w:rsidR="00136089" w:rsidRPr="0080490E">
        <w:rPr>
          <w:rFonts w:asciiTheme="minorHAnsi" w:hAnsiTheme="minorHAnsi" w:cstheme="minorHAnsi"/>
          <w:szCs w:val="24"/>
        </w:rPr>
        <w:t xml:space="preserve"> </w:t>
      </w:r>
      <w:r w:rsidR="00810A76" w:rsidRPr="0080490E">
        <w:rPr>
          <w:rFonts w:asciiTheme="minorHAnsi" w:hAnsiTheme="minorHAnsi" w:cstheme="minorHAnsi"/>
          <w:szCs w:val="24"/>
        </w:rPr>
        <w:t>la</w:t>
      </w:r>
      <w:r w:rsidR="00136089" w:rsidRPr="0080490E">
        <w:rPr>
          <w:rFonts w:asciiTheme="minorHAnsi" w:hAnsiTheme="minorHAnsi" w:cstheme="minorHAnsi"/>
          <w:szCs w:val="24"/>
        </w:rPr>
        <w:t xml:space="preserve"> actividad empresarial genere</w:t>
      </w:r>
      <w:r w:rsidR="005E63F4" w:rsidRPr="0080490E">
        <w:rPr>
          <w:rFonts w:asciiTheme="minorHAnsi" w:hAnsiTheme="minorHAnsi" w:cstheme="minorHAnsi"/>
          <w:szCs w:val="24"/>
        </w:rPr>
        <w:t xml:space="preserve">. </w:t>
      </w:r>
      <w:r w:rsidR="00592729" w:rsidRPr="0080490E">
        <w:rPr>
          <w:rFonts w:asciiTheme="minorHAnsi" w:hAnsiTheme="minorHAnsi" w:cstheme="minorHAnsi"/>
          <w:szCs w:val="24"/>
        </w:rPr>
        <w:t xml:space="preserve">Por su caracterización, </w:t>
      </w:r>
      <w:r w:rsidRPr="0080490E">
        <w:rPr>
          <w:rFonts w:asciiTheme="minorHAnsi" w:hAnsiTheme="minorHAnsi" w:cstheme="minorHAnsi"/>
          <w:szCs w:val="24"/>
        </w:rPr>
        <w:t>las</w:t>
      </w:r>
      <w:r w:rsidR="00592729" w:rsidRPr="0080490E">
        <w:rPr>
          <w:rFonts w:asciiTheme="minorHAnsi" w:hAnsiTheme="minorHAnsi" w:cstheme="minorHAnsi"/>
          <w:szCs w:val="24"/>
        </w:rPr>
        <w:t xml:space="preserve"> cuentas en participación resulta</w:t>
      </w:r>
      <w:r w:rsidRPr="0080490E">
        <w:rPr>
          <w:rFonts w:asciiTheme="minorHAnsi" w:hAnsiTheme="minorHAnsi" w:cstheme="minorHAnsi"/>
          <w:szCs w:val="24"/>
        </w:rPr>
        <w:t>n</w:t>
      </w:r>
      <w:r w:rsidR="00592729" w:rsidRPr="0080490E">
        <w:rPr>
          <w:rFonts w:asciiTheme="minorHAnsi" w:hAnsiTheme="minorHAnsi" w:cstheme="minorHAnsi"/>
          <w:szCs w:val="24"/>
        </w:rPr>
        <w:t xml:space="preserve"> ajen</w:t>
      </w:r>
      <w:r w:rsidRPr="0080490E">
        <w:rPr>
          <w:rFonts w:asciiTheme="minorHAnsi" w:hAnsiTheme="minorHAnsi" w:cstheme="minorHAnsi"/>
          <w:szCs w:val="24"/>
        </w:rPr>
        <w:t>as</w:t>
      </w:r>
      <w:r w:rsidR="00592729" w:rsidRPr="0080490E">
        <w:rPr>
          <w:rFonts w:asciiTheme="minorHAnsi" w:hAnsiTheme="minorHAnsi" w:cstheme="minorHAnsi"/>
          <w:szCs w:val="24"/>
        </w:rPr>
        <w:t xml:space="preserve"> a los títulos valores o valores </w:t>
      </w:r>
      <w:r w:rsidR="0033303F" w:rsidRPr="0080490E">
        <w:rPr>
          <w:rFonts w:asciiTheme="minorHAnsi" w:hAnsiTheme="minorHAnsi" w:cstheme="minorHAnsi"/>
          <w:szCs w:val="24"/>
        </w:rPr>
        <w:t>negociable</w:t>
      </w:r>
      <w:r w:rsidR="00592729" w:rsidRPr="0080490E">
        <w:rPr>
          <w:rFonts w:asciiTheme="minorHAnsi" w:hAnsiTheme="minorHAnsi" w:cstheme="minorHAnsi"/>
          <w:szCs w:val="24"/>
        </w:rPr>
        <w:t>s</w:t>
      </w:r>
      <w:r w:rsidR="006C3C46" w:rsidRPr="0080490E">
        <w:rPr>
          <w:rFonts w:asciiTheme="minorHAnsi" w:hAnsiTheme="minorHAnsi" w:cstheme="minorHAnsi"/>
          <w:szCs w:val="24"/>
        </w:rPr>
        <w:t xml:space="preserve">. Así lo concluye </w:t>
      </w:r>
      <w:r w:rsidR="006C3C46" w:rsidRPr="0080490E">
        <w:rPr>
          <w:rFonts w:asciiTheme="minorHAnsi" w:hAnsiTheme="minorHAnsi" w:cstheme="minorHAnsi"/>
          <w:smallCaps/>
          <w:szCs w:val="24"/>
        </w:rPr>
        <w:t xml:space="preserve">Vicent </w:t>
      </w:r>
      <w:proofErr w:type="spellStart"/>
      <w:r w:rsidR="006C3C46" w:rsidRPr="0080490E">
        <w:rPr>
          <w:rFonts w:asciiTheme="minorHAnsi" w:hAnsiTheme="minorHAnsi" w:cstheme="minorHAnsi"/>
          <w:smallCaps/>
          <w:szCs w:val="24"/>
        </w:rPr>
        <w:t>Chuliá</w:t>
      </w:r>
      <w:proofErr w:type="spellEnd"/>
      <w:r w:rsidR="006C3C46" w:rsidRPr="0080490E">
        <w:rPr>
          <w:rFonts w:asciiTheme="minorHAnsi" w:hAnsiTheme="minorHAnsi" w:cstheme="minorHAnsi"/>
          <w:szCs w:val="24"/>
        </w:rPr>
        <w:t xml:space="preserve"> para quien «no es posible incorporar la condición o posición jurídica de </w:t>
      </w:r>
      <w:proofErr w:type="spellStart"/>
      <w:r w:rsidR="006C3C46" w:rsidRPr="0080490E">
        <w:rPr>
          <w:rFonts w:asciiTheme="minorHAnsi" w:hAnsiTheme="minorHAnsi" w:cstheme="minorHAnsi"/>
          <w:szCs w:val="24"/>
        </w:rPr>
        <w:t>cuentapartícipe</w:t>
      </w:r>
      <w:proofErr w:type="spellEnd"/>
      <w:r w:rsidR="006C3C46" w:rsidRPr="0080490E">
        <w:rPr>
          <w:rFonts w:asciiTheme="minorHAnsi" w:hAnsiTheme="minorHAnsi" w:cstheme="minorHAnsi"/>
          <w:szCs w:val="24"/>
        </w:rPr>
        <w:t xml:space="preserve"> a un título valor que permita la circulación del derecho como un derecho autónomo, literal y abstracto (como una letra</w:t>
      </w:r>
      <w:r w:rsidR="007D2379" w:rsidRPr="0080490E">
        <w:rPr>
          <w:rFonts w:asciiTheme="minorHAnsi" w:hAnsiTheme="minorHAnsi" w:cstheme="minorHAnsi"/>
          <w:szCs w:val="24"/>
        </w:rPr>
        <w:t xml:space="preserve"> </w:t>
      </w:r>
      <w:r w:rsidR="006C3C46" w:rsidRPr="0080490E">
        <w:rPr>
          <w:rFonts w:asciiTheme="minorHAnsi" w:hAnsiTheme="minorHAnsi" w:cstheme="minorHAnsi"/>
          <w:szCs w:val="24"/>
        </w:rPr>
        <w:t>de cambio o como una acción de sociedad</w:t>
      </w:r>
      <w:r w:rsidR="007D2379" w:rsidRPr="0080490E">
        <w:rPr>
          <w:rFonts w:asciiTheme="minorHAnsi" w:hAnsiTheme="minorHAnsi" w:cstheme="minorHAnsi"/>
          <w:szCs w:val="24"/>
        </w:rPr>
        <w:t xml:space="preserve"> </w:t>
      </w:r>
      <w:r w:rsidR="006C3C46" w:rsidRPr="0080490E">
        <w:rPr>
          <w:rFonts w:asciiTheme="minorHAnsi" w:hAnsiTheme="minorHAnsi" w:cstheme="minorHAnsi"/>
          <w:szCs w:val="24"/>
        </w:rPr>
        <w:t>anónima), y no la mera cesión a terceros de</w:t>
      </w:r>
      <w:r w:rsidR="007D2379" w:rsidRPr="0080490E">
        <w:rPr>
          <w:rFonts w:asciiTheme="minorHAnsi" w:hAnsiTheme="minorHAnsi" w:cstheme="minorHAnsi"/>
          <w:szCs w:val="24"/>
        </w:rPr>
        <w:t xml:space="preserve"> </w:t>
      </w:r>
      <w:r w:rsidR="006C3C46" w:rsidRPr="0080490E">
        <w:rPr>
          <w:rFonts w:asciiTheme="minorHAnsi" w:hAnsiTheme="minorHAnsi" w:cstheme="minorHAnsi"/>
          <w:szCs w:val="24"/>
        </w:rPr>
        <w:t xml:space="preserve">los </w:t>
      </w:r>
      <w:r w:rsidR="006C3C46" w:rsidRPr="0080490E">
        <w:rPr>
          <w:rFonts w:asciiTheme="minorHAnsi" w:hAnsiTheme="minorHAnsi" w:cstheme="minorHAnsi"/>
          <w:szCs w:val="24"/>
        </w:rPr>
        <w:lastRenderedPageBreak/>
        <w:t xml:space="preserve">derechos de </w:t>
      </w:r>
      <w:proofErr w:type="spellStart"/>
      <w:r w:rsidR="006C3C46" w:rsidRPr="0080490E">
        <w:rPr>
          <w:rFonts w:asciiTheme="minorHAnsi" w:hAnsiTheme="minorHAnsi" w:cstheme="minorHAnsi"/>
          <w:szCs w:val="24"/>
        </w:rPr>
        <w:t>cuentapartícipe</w:t>
      </w:r>
      <w:proofErr w:type="spellEnd"/>
      <w:r w:rsidR="007D2379" w:rsidRPr="0080490E">
        <w:rPr>
          <w:rFonts w:asciiTheme="minorHAnsi" w:hAnsiTheme="minorHAnsi" w:cstheme="minorHAnsi"/>
          <w:szCs w:val="24"/>
        </w:rPr>
        <w:t>»</w:t>
      </w:r>
      <w:r w:rsidR="00592729" w:rsidRPr="0080490E">
        <w:rPr>
          <w:rStyle w:val="Refdenotaalpie"/>
          <w:rFonts w:asciiTheme="minorHAnsi" w:hAnsiTheme="minorHAnsi" w:cstheme="minorHAnsi"/>
          <w:szCs w:val="24"/>
        </w:rPr>
        <w:footnoteReference w:id="45"/>
      </w:r>
      <w:r w:rsidR="00592729" w:rsidRPr="0080490E">
        <w:rPr>
          <w:rFonts w:asciiTheme="minorHAnsi" w:hAnsiTheme="minorHAnsi" w:cstheme="minorHAnsi"/>
          <w:szCs w:val="24"/>
        </w:rPr>
        <w:t>.</w:t>
      </w:r>
      <w:r w:rsidR="009A1621" w:rsidRPr="0080490E">
        <w:rPr>
          <w:rFonts w:asciiTheme="minorHAnsi" w:hAnsiTheme="minorHAnsi" w:cstheme="minorHAnsi"/>
          <w:szCs w:val="24"/>
        </w:rPr>
        <w:t xml:space="preserve"> Ello no obsta a que</w:t>
      </w:r>
      <w:r w:rsidR="00900F12" w:rsidRPr="0080490E">
        <w:rPr>
          <w:rFonts w:asciiTheme="minorHAnsi" w:hAnsiTheme="minorHAnsi" w:cstheme="minorHAnsi"/>
          <w:szCs w:val="24"/>
        </w:rPr>
        <w:t>, conforme a la regla general dispuesta en el artículo 1112 CC,</w:t>
      </w:r>
      <w:r w:rsidR="009A1621" w:rsidRPr="0080490E">
        <w:rPr>
          <w:rFonts w:asciiTheme="minorHAnsi" w:hAnsiTheme="minorHAnsi" w:cstheme="minorHAnsi"/>
          <w:szCs w:val="24"/>
        </w:rPr>
        <w:t xml:space="preserve"> la posición contractual pueda ser objeto de cesión</w:t>
      </w:r>
      <w:r w:rsidR="004B1F50" w:rsidRPr="0080490E">
        <w:rPr>
          <w:rFonts w:asciiTheme="minorHAnsi" w:hAnsiTheme="minorHAnsi" w:cstheme="minorHAnsi"/>
          <w:szCs w:val="24"/>
        </w:rPr>
        <w:t xml:space="preserve"> a un tercero</w:t>
      </w:r>
      <w:r w:rsidR="009A1621" w:rsidRPr="0080490E">
        <w:rPr>
          <w:rFonts w:asciiTheme="minorHAnsi" w:hAnsiTheme="minorHAnsi" w:cstheme="minorHAnsi"/>
          <w:szCs w:val="24"/>
        </w:rPr>
        <w:t xml:space="preserve">, lo que requerirá el consentimiento del gestor y el </w:t>
      </w:r>
      <w:proofErr w:type="spellStart"/>
      <w:r w:rsidR="009A1621" w:rsidRPr="0080490E">
        <w:rPr>
          <w:rFonts w:asciiTheme="minorHAnsi" w:hAnsiTheme="minorHAnsi" w:cstheme="minorHAnsi"/>
          <w:szCs w:val="24"/>
        </w:rPr>
        <w:t>cuentapartícipe</w:t>
      </w:r>
      <w:proofErr w:type="spellEnd"/>
      <w:r w:rsidR="009A1621" w:rsidRPr="0080490E">
        <w:rPr>
          <w:rFonts w:asciiTheme="minorHAnsi" w:hAnsiTheme="minorHAnsi" w:cstheme="minorHAnsi"/>
          <w:szCs w:val="24"/>
        </w:rPr>
        <w:t>.</w:t>
      </w:r>
    </w:p>
    <w:p w14:paraId="7883F2B5" w14:textId="77777777" w:rsidR="00372603" w:rsidRPr="0080490E" w:rsidRDefault="00372603" w:rsidP="0080490E">
      <w:pPr>
        <w:spacing w:after="0" w:line="276" w:lineRule="auto"/>
        <w:ind w:firstLine="0"/>
        <w:rPr>
          <w:rFonts w:asciiTheme="minorHAnsi" w:hAnsiTheme="minorHAnsi" w:cstheme="minorHAnsi"/>
          <w:szCs w:val="24"/>
        </w:rPr>
      </w:pPr>
    </w:p>
    <w:p w14:paraId="67D81A86" w14:textId="5D1A22CC" w:rsidR="004F40A3" w:rsidRPr="0080490E" w:rsidRDefault="004F40A3" w:rsidP="0080490E">
      <w:pPr>
        <w:pStyle w:val="Ttulo2"/>
        <w:spacing w:after="0" w:line="276" w:lineRule="auto"/>
        <w:ind w:firstLine="0"/>
        <w:rPr>
          <w:rFonts w:asciiTheme="minorHAnsi" w:hAnsiTheme="minorHAnsi" w:cstheme="minorHAnsi"/>
          <w:szCs w:val="24"/>
        </w:rPr>
      </w:pPr>
      <w:r w:rsidRPr="0080490E">
        <w:rPr>
          <w:rFonts w:asciiTheme="minorHAnsi" w:hAnsiTheme="minorHAnsi" w:cstheme="minorHAnsi"/>
          <w:szCs w:val="24"/>
        </w:rPr>
        <w:t>5.</w:t>
      </w:r>
      <w:r w:rsidR="007B2A51" w:rsidRPr="0080490E">
        <w:rPr>
          <w:rFonts w:asciiTheme="minorHAnsi" w:hAnsiTheme="minorHAnsi" w:cstheme="minorHAnsi"/>
          <w:szCs w:val="24"/>
        </w:rPr>
        <w:t>3</w:t>
      </w:r>
      <w:r w:rsidRPr="0080490E">
        <w:rPr>
          <w:rFonts w:asciiTheme="minorHAnsi" w:hAnsiTheme="minorHAnsi" w:cstheme="minorHAnsi"/>
          <w:szCs w:val="24"/>
        </w:rPr>
        <w:t>. El contrato de préstamo participativo</w:t>
      </w:r>
    </w:p>
    <w:p w14:paraId="4993CA6A" w14:textId="5AA7DFB9" w:rsidR="002F0386" w:rsidRPr="0080490E" w:rsidRDefault="00E51223"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La regulación </w:t>
      </w:r>
      <w:r w:rsidR="005708D7" w:rsidRPr="0080490E">
        <w:rPr>
          <w:rFonts w:asciiTheme="minorHAnsi" w:hAnsiTheme="minorHAnsi" w:cstheme="minorHAnsi"/>
          <w:szCs w:val="24"/>
        </w:rPr>
        <w:t xml:space="preserve">específica </w:t>
      </w:r>
      <w:r w:rsidRPr="0080490E">
        <w:rPr>
          <w:rFonts w:asciiTheme="minorHAnsi" w:hAnsiTheme="minorHAnsi" w:cstheme="minorHAnsi"/>
          <w:szCs w:val="24"/>
        </w:rPr>
        <w:t>de</w:t>
      </w:r>
      <w:r w:rsidR="002F0386" w:rsidRPr="0080490E">
        <w:rPr>
          <w:rFonts w:asciiTheme="minorHAnsi" w:hAnsiTheme="minorHAnsi" w:cstheme="minorHAnsi"/>
          <w:szCs w:val="24"/>
        </w:rPr>
        <w:t xml:space="preserve">l préstamo participativo </w:t>
      </w:r>
      <w:r w:rsidRPr="0080490E">
        <w:rPr>
          <w:rFonts w:asciiTheme="minorHAnsi" w:hAnsiTheme="minorHAnsi" w:cstheme="minorHAnsi"/>
          <w:szCs w:val="24"/>
        </w:rPr>
        <w:t>se encuentra en el artículo 20 del Real Decreto-Ley 7/1996, de 7 de junio, sobre medidas urgentes de carácter fiscal y de fomento y liberalización de la actividad económica</w:t>
      </w:r>
      <w:r w:rsidR="00791781" w:rsidRPr="0080490E">
        <w:rPr>
          <w:rFonts w:asciiTheme="minorHAnsi" w:hAnsiTheme="minorHAnsi" w:cstheme="minorHAnsi"/>
          <w:szCs w:val="24"/>
        </w:rPr>
        <w:t xml:space="preserve"> (RDL 7/1996, en adelante)</w:t>
      </w:r>
      <w:r w:rsidRPr="0080490E">
        <w:rPr>
          <w:rFonts w:asciiTheme="minorHAnsi" w:hAnsiTheme="minorHAnsi" w:cstheme="minorHAnsi"/>
          <w:szCs w:val="24"/>
        </w:rPr>
        <w:t xml:space="preserve">. </w:t>
      </w:r>
      <w:r w:rsidR="002F0386" w:rsidRPr="0080490E">
        <w:rPr>
          <w:rFonts w:asciiTheme="minorHAnsi" w:hAnsiTheme="minorHAnsi" w:cstheme="minorHAnsi"/>
          <w:szCs w:val="24"/>
        </w:rPr>
        <w:t xml:space="preserve">A la luz de este precepto, se trata de una figura jurídica de naturaleza híbrida. Por un lado, es una tipología </w:t>
      </w:r>
      <w:r w:rsidR="002D679A" w:rsidRPr="0080490E">
        <w:rPr>
          <w:rFonts w:asciiTheme="minorHAnsi" w:hAnsiTheme="minorHAnsi" w:cstheme="minorHAnsi"/>
          <w:szCs w:val="24"/>
        </w:rPr>
        <w:t>particular</w:t>
      </w:r>
      <w:r w:rsidR="002F0386" w:rsidRPr="0080490E">
        <w:rPr>
          <w:rFonts w:asciiTheme="minorHAnsi" w:hAnsiTheme="minorHAnsi" w:cstheme="minorHAnsi"/>
          <w:szCs w:val="24"/>
        </w:rPr>
        <w:t xml:space="preserve"> del contrato de préstamo, lo que supone que una de las partes</w:t>
      </w:r>
      <w:r w:rsidR="00C92F00" w:rsidRPr="0080490E">
        <w:rPr>
          <w:rFonts w:asciiTheme="minorHAnsi" w:hAnsiTheme="minorHAnsi" w:cstheme="minorHAnsi"/>
          <w:szCs w:val="24"/>
        </w:rPr>
        <w:t xml:space="preserve"> </w:t>
      </w:r>
      <w:r w:rsidR="002F0386" w:rsidRPr="0080490E">
        <w:rPr>
          <w:rFonts w:asciiTheme="minorHAnsi" w:hAnsiTheme="minorHAnsi" w:cstheme="minorHAnsi"/>
          <w:szCs w:val="24"/>
        </w:rPr>
        <w:t>entrega a la otra una cantidad de dinero con la obligación de devolver la misma cantidad prestada</w:t>
      </w:r>
      <w:r w:rsidR="00927BE5" w:rsidRPr="0080490E">
        <w:rPr>
          <w:rFonts w:asciiTheme="minorHAnsi" w:hAnsiTheme="minorHAnsi" w:cstheme="minorHAnsi"/>
          <w:szCs w:val="24"/>
        </w:rPr>
        <w:t xml:space="preserve"> (</w:t>
      </w:r>
      <w:r w:rsidR="00430C68" w:rsidRPr="0080490E">
        <w:rPr>
          <w:rFonts w:asciiTheme="minorHAnsi" w:hAnsiTheme="minorHAnsi" w:cstheme="minorHAnsi"/>
          <w:szCs w:val="24"/>
        </w:rPr>
        <w:t>arts.</w:t>
      </w:r>
      <w:r w:rsidR="00927BE5" w:rsidRPr="0080490E">
        <w:rPr>
          <w:rFonts w:asciiTheme="minorHAnsi" w:hAnsiTheme="minorHAnsi" w:cstheme="minorHAnsi"/>
          <w:szCs w:val="24"/>
        </w:rPr>
        <w:t xml:space="preserve"> </w:t>
      </w:r>
      <w:r w:rsidR="00BF3BA8" w:rsidRPr="0080490E">
        <w:rPr>
          <w:rFonts w:asciiTheme="minorHAnsi" w:hAnsiTheme="minorHAnsi" w:cstheme="minorHAnsi"/>
          <w:szCs w:val="24"/>
        </w:rPr>
        <w:t xml:space="preserve">312 </w:t>
      </w:r>
      <w:proofErr w:type="spellStart"/>
      <w:r w:rsidR="00BF3BA8" w:rsidRPr="0080490E">
        <w:rPr>
          <w:rFonts w:asciiTheme="minorHAnsi" w:hAnsiTheme="minorHAnsi" w:cstheme="minorHAnsi"/>
          <w:szCs w:val="24"/>
        </w:rPr>
        <w:t>CCom</w:t>
      </w:r>
      <w:proofErr w:type="spellEnd"/>
      <w:r w:rsidR="00BF3BA8" w:rsidRPr="0080490E">
        <w:rPr>
          <w:rFonts w:asciiTheme="minorHAnsi" w:hAnsiTheme="minorHAnsi" w:cstheme="minorHAnsi"/>
          <w:szCs w:val="24"/>
        </w:rPr>
        <w:t xml:space="preserve"> y </w:t>
      </w:r>
      <w:r w:rsidR="00927BE5" w:rsidRPr="0080490E">
        <w:rPr>
          <w:rFonts w:asciiTheme="minorHAnsi" w:hAnsiTheme="minorHAnsi" w:cstheme="minorHAnsi"/>
          <w:szCs w:val="24"/>
        </w:rPr>
        <w:t>1740 CC)</w:t>
      </w:r>
      <w:r w:rsidR="006E4989" w:rsidRPr="0080490E">
        <w:rPr>
          <w:rStyle w:val="Refdenotaalpie"/>
          <w:rFonts w:asciiTheme="minorHAnsi" w:hAnsiTheme="minorHAnsi" w:cstheme="minorHAnsi"/>
          <w:szCs w:val="24"/>
        </w:rPr>
        <w:footnoteReference w:id="46"/>
      </w:r>
      <w:r w:rsidR="00960C1D" w:rsidRPr="0080490E">
        <w:rPr>
          <w:rFonts w:asciiTheme="minorHAnsi" w:hAnsiTheme="minorHAnsi" w:cstheme="minorHAnsi"/>
          <w:szCs w:val="24"/>
        </w:rPr>
        <w:t xml:space="preserve">. </w:t>
      </w:r>
      <w:r w:rsidR="002F0386" w:rsidRPr="0080490E">
        <w:rPr>
          <w:rFonts w:asciiTheme="minorHAnsi" w:hAnsiTheme="minorHAnsi" w:cstheme="minorHAnsi"/>
          <w:szCs w:val="24"/>
        </w:rPr>
        <w:t xml:space="preserve">Por otro, presenta un carácter aleatorio </w:t>
      </w:r>
      <w:r w:rsidR="000044AA" w:rsidRPr="0080490E">
        <w:rPr>
          <w:rFonts w:asciiTheme="minorHAnsi" w:hAnsiTheme="minorHAnsi" w:cstheme="minorHAnsi"/>
          <w:szCs w:val="24"/>
        </w:rPr>
        <w:t>pues</w:t>
      </w:r>
      <w:r w:rsidR="002F0386" w:rsidRPr="0080490E">
        <w:rPr>
          <w:rFonts w:asciiTheme="minorHAnsi" w:hAnsiTheme="minorHAnsi" w:cstheme="minorHAnsi"/>
          <w:szCs w:val="24"/>
        </w:rPr>
        <w:t xml:space="preserve"> el prestamista percibirá un interés en función de la evolución </w:t>
      </w:r>
      <w:r w:rsidR="00E22653" w:rsidRPr="0080490E">
        <w:rPr>
          <w:rFonts w:asciiTheme="minorHAnsi" w:hAnsiTheme="minorHAnsi" w:cstheme="minorHAnsi"/>
          <w:szCs w:val="24"/>
        </w:rPr>
        <w:t xml:space="preserve">económica </w:t>
      </w:r>
      <w:r w:rsidR="002F0386" w:rsidRPr="0080490E">
        <w:rPr>
          <w:rFonts w:asciiTheme="minorHAnsi" w:hAnsiTheme="minorHAnsi" w:cstheme="minorHAnsi"/>
          <w:szCs w:val="24"/>
        </w:rPr>
        <w:t>de la actividad de</w:t>
      </w:r>
      <w:r w:rsidR="000044AA" w:rsidRPr="0080490E">
        <w:rPr>
          <w:rFonts w:asciiTheme="minorHAnsi" w:hAnsiTheme="minorHAnsi" w:cstheme="minorHAnsi"/>
          <w:szCs w:val="24"/>
        </w:rPr>
        <w:t>l</w:t>
      </w:r>
      <w:r w:rsidR="002F0386" w:rsidRPr="0080490E">
        <w:rPr>
          <w:rFonts w:asciiTheme="minorHAnsi" w:hAnsiTheme="minorHAnsi" w:cstheme="minorHAnsi"/>
          <w:szCs w:val="24"/>
        </w:rPr>
        <w:t xml:space="preserve"> prestatari</w:t>
      </w:r>
      <w:r w:rsidR="000044AA" w:rsidRPr="0080490E">
        <w:rPr>
          <w:rFonts w:asciiTheme="minorHAnsi" w:hAnsiTheme="minorHAnsi" w:cstheme="minorHAnsi"/>
          <w:szCs w:val="24"/>
        </w:rPr>
        <w:t>o</w:t>
      </w:r>
      <w:r w:rsidR="002F0386" w:rsidRPr="0080490E">
        <w:rPr>
          <w:rFonts w:asciiTheme="minorHAnsi" w:hAnsiTheme="minorHAnsi" w:cstheme="minorHAnsi"/>
          <w:szCs w:val="24"/>
        </w:rPr>
        <w:t>. Asimismo, se faculta a las partes a pactar un interés retributivo</w:t>
      </w:r>
      <w:r w:rsidR="00E22653" w:rsidRPr="0080490E">
        <w:rPr>
          <w:rFonts w:asciiTheme="minorHAnsi" w:hAnsiTheme="minorHAnsi" w:cstheme="minorHAnsi"/>
          <w:szCs w:val="24"/>
        </w:rPr>
        <w:t xml:space="preserve"> fijo</w:t>
      </w:r>
      <w:r w:rsidR="002F0386" w:rsidRPr="0080490E">
        <w:rPr>
          <w:rFonts w:asciiTheme="minorHAnsi" w:hAnsiTheme="minorHAnsi" w:cstheme="minorHAnsi"/>
          <w:szCs w:val="24"/>
        </w:rPr>
        <w:t xml:space="preserve">, </w:t>
      </w:r>
      <w:r w:rsidR="00E22653" w:rsidRPr="0080490E">
        <w:rPr>
          <w:rFonts w:asciiTheme="minorHAnsi" w:hAnsiTheme="minorHAnsi" w:cstheme="minorHAnsi"/>
          <w:szCs w:val="24"/>
        </w:rPr>
        <w:t xml:space="preserve">al margen del desempeño económico </w:t>
      </w:r>
      <w:r w:rsidR="000044AA" w:rsidRPr="0080490E">
        <w:rPr>
          <w:rFonts w:asciiTheme="minorHAnsi" w:hAnsiTheme="minorHAnsi" w:cstheme="minorHAnsi"/>
          <w:szCs w:val="24"/>
        </w:rPr>
        <w:t>del prestatario</w:t>
      </w:r>
      <w:r w:rsidR="00082E8A" w:rsidRPr="0080490E">
        <w:rPr>
          <w:rStyle w:val="Refdenotaalpie"/>
          <w:rFonts w:asciiTheme="minorHAnsi" w:hAnsiTheme="minorHAnsi" w:cstheme="minorHAnsi"/>
          <w:szCs w:val="24"/>
        </w:rPr>
        <w:footnoteReference w:id="47"/>
      </w:r>
      <w:r w:rsidR="00C25F68" w:rsidRPr="0080490E">
        <w:rPr>
          <w:rFonts w:asciiTheme="minorHAnsi" w:hAnsiTheme="minorHAnsi" w:cstheme="minorHAnsi"/>
          <w:szCs w:val="24"/>
        </w:rPr>
        <w:t>.</w:t>
      </w:r>
    </w:p>
    <w:p w14:paraId="4D482BD3" w14:textId="77777777" w:rsidR="001702E7" w:rsidRPr="0080490E" w:rsidRDefault="00F95277"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La libertad con la que el legislador establece la vinculación entre la actividad empresaria</w:t>
      </w:r>
      <w:r w:rsidR="00EC0437" w:rsidRPr="0080490E">
        <w:rPr>
          <w:rFonts w:asciiTheme="minorHAnsi" w:hAnsiTheme="minorHAnsi" w:cstheme="minorHAnsi"/>
          <w:szCs w:val="24"/>
        </w:rPr>
        <w:t>l</w:t>
      </w:r>
      <w:r w:rsidRPr="0080490E">
        <w:rPr>
          <w:rFonts w:asciiTheme="minorHAnsi" w:hAnsiTheme="minorHAnsi" w:cstheme="minorHAnsi"/>
          <w:szCs w:val="24"/>
        </w:rPr>
        <w:t xml:space="preserve"> y la retribución del prestamista</w:t>
      </w:r>
      <w:r w:rsidR="00362A9F" w:rsidRPr="0080490E">
        <w:rPr>
          <w:rFonts w:asciiTheme="minorHAnsi" w:hAnsiTheme="minorHAnsi" w:cstheme="minorHAnsi"/>
          <w:szCs w:val="24"/>
        </w:rPr>
        <w:t xml:space="preserve"> </w:t>
      </w:r>
      <w:r w:rsidRPr="0080490E">
        <w:rPr>
          <w:rFonts w:asciiTheme="minorHAnsi" w:hAnsiTheme="minorHAnsi" w:cstheme="minorHAnsi"/>
          <w:szCs w:val="24"/>
        </w:rPr>
        <w:t xml:space="preserve">permite adaptar el préstamo participativo a contextos muy diferentes. </w:t>
      </w:r>
      <w:r w:rsidR="00362A9F" w:rsidRPr="0080490E">
        <w:rPr>
          <w:rFonts w:asciiTheme="minorHAnsi" w:hAnsiTheme="minorHAnsi" w:cstheme="minorHAnsi"/>
          <w:szCs w:val="24"/>
        </w:rPr>
        <w:t>En</w:t>
      </w:r>
      <w:r w:rsidR="002F0386" w:rsidRPr="0080490E">
        <w:rPr>
          <w:rFonts w:asciiTheme="minorHAnsi" w:hAnsiTheme="minorHAnsi" w:cstheme="minorHAnsi"/>
          <w:szCs w:val="24"/>
        </w:rPr>
        <w:t xml:space="preserve"> </w:t>
      </w:r>
      <w:r w:rsidR="00362A9F" w:rsidRPr="0080490E">
        <w:rPr>
          <w:rFonts w:asciiTheme="minorHAnsi" w:hAnsiTheme="minorHAnsi" w:cstheme="minorHAnsi"/>
          <w:szCs w:val="24"/>
        </w:rPr>
        <w:t xml:space="preserve">consonancia con la autonomía de la voluntad, corresponde a las partes </w:t>
      </w:r>
      <w:r w:rsidR="00B97919" w:rsidRPr="0080490E">
        <w:rPr>
          <w:rFonts w:asciiTheme="minorHAnsi" w:hAnsiTheme="minorHAnsi" w:cstheme="minorHAnsi"/>
          <w:szCs w:val="24"/>
        </w:rPr>
        <w:t>fijar</w:t>
      </w:r>
      <w:r w:rsidR="00362A9F" w:rsidRPr="0080490E">
        <w:rPr>
          <w:rFonts w:asciiTheme="minorHAnsi" w:hAnsiTheme="minorHAnsi" w:cstheme="minorHAnsi"/>
          <w:szCs w:val="24"/>
        </w:rPr>
        <w:t xml:space="preserve"> la retribución del inversor a través de </w:t>
      </w:r>
      <w:r w:rsidR="00B97919" w:rsidRPr="0080490E">
        <w:rPr>
          <w:rFonts w:asciiTheme="minorHAnsi" w:hAnsiTheme="minorHAnsi" w:cstheme="minorHAnsi"/>
          <w:szCs w:val="24"/>
        </w:rPr>
        <w:t>una</w:t>
      </w:r>
      <w:r w:rsidR="00362A9F" w:rsidRPr="0080490E">
        <w:rPr>
          <w:rFonts w:asciiTheme="minorHAnsi" w:hAnsiTheme="minorHAnsi" w:cstheme="minorHAnsi"/>
          <w:szCs w:val="24"/>
        </w:rPr>
        <w:t xml:space="preserve"> cláusula participativa establecida en el contrato</w:t>
      </w:r>
      <w:r w:rsidR="00BA7708" w:rsidRPr="0080490E">
        <w:rPr>
          <w:rStyle w:val="Refdenotaalpie"/>
          <w:rFonts w:asciiTheme="minorHAnsi" w:hAnsiTheme="minorHAnsi" w:cstheme="minorHAnsi"/>
          <w:szCs w:val="24"/>
        </w:rPr>
        <w:footnoteReference w:id="48"/>
      </w:r>
      <w:r w:rsidR="00B038E7" w:rsidRPr="0080490E">
        <w:rPr>
          <w:rFonts w:asciiTheme="minorHAnsi" w:hAnsiTheme="minorHAnsi" w:cstheme="minorHAnsi"/>
          <w:szCs w:val="24"/>
        </w:rPr>
        <w:t>.</w:t>
      </w:r>
    </w:p>
    <w:p w14:paraId="0287E09D" w14:textId="48AF579D" w:rsidR="001710CD" w:rsidRPr="0080490E" w:rsidRDefault="001710CD"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En cuanto a los sujetos del contrato, es preciso separarse del artículo 20 RDL 7/1996 que al referirse al prestamista lo califica como “entidad”. Desde una óptica teleológica, no </w:t>
      </w:r>
      <w:r w:rsidR="00AE501B" w:rsidRPr="0080490E">
        <w:rPr>
          <w:rFonts w:asciiTheme="minorHAnsi" w:hAnsiTheme="minorHAnsi" w:cstheme="minorHAnsi"/>
          <w:szCs w:val="24"/>
        </w:rPr>
        <w:t>procede</w:t>
      </w:r>
      <w:r w:rsidRPr="0080490E">
        <w:rPr>
          <w:rFonts w:asciiTheme="minorHAnsi" w:hAnsiTheme="minorHAnsi" w:cstheme="minorHAnsi"/>
          <w:szCs w:val="24"/>
        </w:rPr>
        <w:t xml:space="preserve"> excluir a las personas físicas de esta figura contractual, y así lo ha reconocido, con carácter general, la doctrina</w:t>
      </w:r>
      <w:r w:rsidRPr="0080490E">
        <w:rPr>
          <w:rStyle w:val="Refdenotaalpie"/>
          <w:rFonts w:asciiTheme="minorHAnsi" w:hAnsiTheme="minorHAnsi" w:cstheme="minorHAnsi"/>
          <w:szCs w:val="24"/>
        </w:rPr>
        <w:footnoteReference w:id="49"/>
      </w:r>
      <w:r w:rsidRPr="0080490E">
        <w:rPr>
          <w:rFonts w:asciiTheme="minorHAnsi" w:hAnsiTheme="minorHAnsi" w:cstheme="minorHAnsi"/>
          <w:szCs w:val="24"/>
        </w:rPr>
        <w:t>. En cuanto a la lógica sistemática del ordenamiento</w:t>
      </w:r>
      <w:r w:rsidR="00AE501B" w:rsidRPr="0080490E">
        <w:rPr>
          <w:rFonts w:asciiTheme="minorHAnsi" w:hAnsiTheme="minorHAnsi" w:cstheme="minorHAnsi"/>
          <w:szCs w:val="24"/>
        </w:rPr>
        <w:t>,</w:t>
      </w:r>
      <w:r w:rsidRPr="0080490E">
        <w:rPr>
          <w:rFonts w:asciiTheme="minorHAnsi" w:hAnsiTheme="minorHAnsi" w:cstheme="minorHAnsi"/>
          <w:szCs w:val="24"/>
        </w:rPr>
        <w:t xml:space="preserve"> </w:t>
      </w:r>
      <w:r w:rsidR="00AE501B" w:rsidRPr="0080490E">
        <w:rPr>
          <w:rFonts w:asciiTheme="minorHAnsi" w:hAnsiTheme="minorHAnsi" w:cstheme="minorHAnsi"/>
          <w:szCs w:val="24"/>
        </w:rPr>
        <w:t>aceptar</w:t>
      </w:r>
      <w:r w:rsidRPr="0080490E">
        <w:rPr>
          <w:rFonts w:asciiTheme="minorHAnsi" w:hAnsiTheme="minorHAnsi" w:cstheme="minorHAnsi"/>
          <w:szCs w:val="24"/>
        </w:rPr>
        <w:t xml:space="preserve"> a los particulares como prestamistas tiene sentido por la admisión general que el artículo 46 LFFE, actualmente derogado, hacía </w:t>
      </w:r>
      <w:r w:rsidR="00B17AD4" w:rsidRPr="0080490E">
        <w:rPr>
          <w:rFonts w:asciiTheme="minorHAnsi" w:hAnsiTheme="minorHAnsi" w:cstheme="minorHAnsi"/>
          <w:szCs w:val="24"/>
        </w:rPr>
        <w:t xml:space="preserve">de </w:t>
      </w:r>
      <w:r w:rsidRPr="0080490E">
        <w:rPr>
          <w:rFonts w:asciiTheme="minorHAnsi" w:hAnsiTheme="minorHAnsi" w:cstheme="minorHAnsi"/>
          <w:szCs w:val="24"/>
        </w:rPr>
        <w:t>las personas físicas en las operaciones de financiación participativa.</w:t>
      </w:r>
    </w:p>
    <w:p w14:paraId="31C09857" w14:textId="25AF5549" w:rsidR="001710CD" w:rsidRPr="0080490E" w:rsidRDefault="001710CD"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lastRenderedPageBreak/>
        <w:t xml:space="preserve">En cuanto al prestatario, según el </w:t>
      </w:r>
      <w:r w:rsidR="00A22612" w:rsidRPr="0080490E">
        <w:rPr>
          <w:rFonts w:asciiTheme="minorHAnsi" w:hAnsiTheme="minorHAnsi" w:cstheme="minorHAnsi"/>
          <w:szCs w:val="24"/>
        </w:rPr>
        <w:t xml:space="preserve">referido </w:t>
      </w:r>
      <w:r w:rsidRPr="0080490E">
        <w:rPr>
          <w:rFonts w:asciiTheme="minorHAnsi" w:hAnsiTheme="minorHAnsi" w:cstheme="minorHAnsi"/>
          <w:szCs w:val="24"/>
        </w:rPr>
        <w:t xml:space="preserve">precepto, debe tratarse de una empresa, sin que sea precisa una forma societaria específica. No obstante, el artículo 50 LFFE, también derogado, aludía a que «se entenderá por promotor a las </w:t>
      </w:r>
      <w:r w:rsidRPr="0080490E">
        <w:rPr>
          <w:rFonts w:asciiTheme="minorHAnsi" w:hAnsiTheme="minorHAnsi" w:cstheme="minorHAnsi"/>
          <w:i/>
          <w:iCs/>
          <w:szCs w:val="24"/>
        </w:rPr>
        <w:t>personas físicas</w:t>
      </w:r>
      <w:r w:rsidRPr="0080490E">
        <w:rPr>
          <w:rFonts w:asciiTheme="minorHAnsi" w:hAnsiTheme="minorHAnsi" w:cstheme="minorHAnsi"/>
          <w:szCs w:val="24"/>
        </w:rPr>
        <w:t xml:space="preserve"> o personas jurídicas prestatarias». Se estima, por tanto, procedente la admisión de personas físicas como prestatarias siempre que realicen una actividad lucrativa en nombre propio como ocurre con los empresarios individuales</w:t>
      </w:r>
      <w:r w:rsidRPr="0080490E">
        <w:rPr>
          <w:rStyle w:val="Refdenotaalpie"/>
          <w:rFonts w:asciiTheme="minorHAnsi" w:hAnsiTheme="minorHAnsi" w:cstheme="minorHAnsi"/>
          <w:szCs w:val="24"/>
        </w:rPr>
        <w:footnoteReference w:id="50"/>
      </w:r>
      <w:r w:rsidRPr="0080490E">
        <w:rPr>
          <w:rFonts w:asciiTheme="minorHAnsi" w:hAnsiTheme="minorHAnsi" w:cstheme="minorHAnsi"/>
          <w:szCs w:val="24"/>
        </w:rPr>
        <w:t>.</w:t>
      </w:r>
    </w:p>
    <w:p w14:paraId="44A10904" w14:textId="59CCA09B" w:rsidR="001710CD" w:rsidRPr="0080490E" w:rsidRDefault="001710CD"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Por su configuración legal, el préstamo participativo </w:t>
      </w:r>
      <w:r w:rsidR="00E96637" w:rsidRPr="0080490E">
        <w:rPr>
          <w:rFonts w:asciiTheme="minorHAnsi" w:hAnsiTheme="minorHAnsi" w:cstheme="minorHAnsi"/>
          <w:szCs w:val="24"/>
        </w:rPr>
        <w:t>es</w:t>
      </w:r>
      <w:r w:rsidRPr="0080490E">
        <w:rPr>
          <w:rFonts w:asciiTheme="minorHAnsi" w:hAnsiTheme="minorHAnsi" w:cstheme="minorHAnsi"/>
          <w:szCs w:val="24"/>
        </w:rPr>
        <w:t xml:space="preserve"> bilateral y no plurilateral, a pesar de que el prestatario pueda celebrar una pluralidad de contratos de esta naturaleza. Por otro lado, aunque es ajeno a los títulos valores, el préstamo participativo puede ser objeto de cesión de contrato conforme a las reglas generales.</w:t>
      </w:r>
    </w:p>
    <w:p w14:paraId="308FA9AF" w14:textId="4C6880FD" w:rsidR="00EC0437" w:rsidRPr="0080490E" w:rsidRDefault="002F5704"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A la vista de ello, es posible emplear esta figura para revestir jurídicamente el modelo de negocio </w:t>
      </w:r>
      <w:r w:rsidR="000F4EAF" w:rsidRPr="0080490E">
        <w:rPr>
          <w:rFonts w:asciiTheme="minorHAnsi" w:hAnsiTheme="minorHAnsi" w:cstheme="minorHAnsi"/>
          <w:szCs w:val="24"/>
        </w:rPr>
        <w:t xml:space="preserve">de tokenización </w:t>
      </w:r>
      <w:r w:rsidRPr="0080490E">
        <w:rPr>
          <w:rFonts w:asciiTheme="minorHAnsi" w:hAnsiTheme="minorHAnsi" w:cstheme="minorHAnsi"/>
          <w:szCs w:val="24"/>
        </w:rPr>
        <w:t>expuesto</w:t>
      </w:r>
      <w:r w:rsidR="00E96637" w:rsidRPr="0080490E">
        <w:rPr>
          <w:rFonts w:asciiTheme="minorHAnsi" w:hAnsiTheme="minorHAnsi" w:cstheme="minorHAnsi"/>
          <w:szCs w:val="24"/>
        </w:rPr>
        <w:t xml:space="preserve"> y</w:t>
      </w:r>
      <w:r w:rsidRPr="0080490E">
        <w:rPr>
          <w:rFonts w:asciiTheme="minorHAnsi" w:hAnsiTheme="minorHAnsi" w:cstheme="minorHAnsi"/>
          <w:szCs w:val="24"/>
        </w:rPr>
        <w:t xml:space="preserve"> vincula</w:t>
      </w:r>
      <w:r w:rsidR="00E96637" w:rsidRPr="0080490E">
        <w:rPr>
          <w:rFonts w:asciiTheme="minorHAnsi" w:hAnsiTheme="minorHAnsi" w:cstheme="minorHAnsi"/>
          <w:szCs w:val="24"/>
        </w:rPr>
        <w:t>r</w:t>
      </w:r>
      <w:r w:rsidRPr="0080490E">
        <w:rPr>
          <w:rFonts w:asciiTheme="minorHAnsi" w:hAnsiTheme="minorHAnsi" w:cstheme="minorHAnsi"/>
          <w:szCs w:val="24"/>
        </w:rPr>
        <w:t xml:space="preserve"> la retribución del inversor a los rendimientos derivados de la explotación económica del inmueble</w:t>
      </w:r>
      <w:r w:rsidR="00F95277" w:rsidRPr="0080490E">
        <w:rPr>
          <w:rFonts w:asciiTheme="minorHAnsi" w:hAnsiTheme="minorHAnsi" w:cstheme="minorHAnsi"/>
          <w:szCs w:val="24"/>
        </w:rPr>
        <w:t>.</w:t>
      </w:r>
      <w:r w:rsidR="001702E7" w:rsidRPr="0080490E">
        <w:rPr>
          <w:rFonts w:asciiTheme="minorHAnsi" w:hAnsiTheme="minorHAnsi" w:cstheme="minorHAnsi"/>
          <w:szCs w:val="24"/>
        </w:rPr>
        <w:t xml:space="preserve"> </w:t>
      </w:r>
      <w:r w:rsidRPr="0080490E">
        <w:rPr>
          <w:rFonts w:asciiTheme="minorHAnsi" w:hAnsiTheme="minorHAnsi" w:cstheme="minorHAnsi"/>
          <w:szCs w:val="24"/>
        </w:rPr>
        <w:t xml:space="preserve">Además, </w:t>
      </w:r>
      <w:r w:rsidR="001710CD" w:rsidRPr="0080490E">
        <w:rPr>
          <w:rFonts w:asciiTheme="minorHAnsi" w:hAnsiTheme="minorHAnsi" w:cstheme="minorHAnsi"/>
          <w:szCs w:val="24"/>
        </w:rPr>
        <w:t>el préstamo participativo se ajusta mejor que la cuenta en participación al propósito general de</w:t>
      </w:r>
      <w:r w:rsidR="00061F2B" w:rsidRPr="0080490E">
        <w:rPr>
          <w:rFonts w:asciiTheme="minorHAnsi" w:hAnsiTheme="minorHAnsi" w:cstheme="minorHAnsi"/>
          <w:szCs w:val="24"/>
        </w:rPr>
        <w:t xml:space="preserve"> ese modelo de negocio</w:t>
      </w:r>
      <w:r w:rsidR="001710CD" w:rsidRPr="0080490E">
        <w:rPr>
          <w:rFonts w:asciiTheme="minorHAnsi" w:hAnsiTheme="minorHAnsi" w:cstheme="minorHAnsi"/>
          <w:szCs w:val="24"/>
        </w:rPr>
        <w:t xml:space="preserve"> por tres motivos principales. En primer término, porque </w:t>
      </w:r>
      <w:r w:rsidRPr="0080490E">
        <w:rPr>
          <w:rFonts w:asciiTheme="minorHAnsi" w:hAnsiTheme="minorHAnsi" w:cstheme="minorHAnsi"/>
          <w:szCs w:val="24"/>
        </w:rPr>
        <w:t xml:space="preserve">ofrece una mayor </w:t>
      </w:r>
      <w:r w:rsidR="001702E7" w:rsidRPr="0080490E">
        <w:rPr>
          <w:rFonts w:asciiTheme="minorHAnsi" w:hAnsiTheme="minorHAnsi" w:cstheme="minorHAnsi"/>
          <w:szCs w:val="24"/>
        </w:rPr>
        <w:t>seguridad</w:t>
      </w:r>
      <w:r w:rsidRPr="0080490E">
        <w:rPr>
          <w:rFonts w:asciiTheme="minorHAnsi" w:hAnsiTheme="minorHAnsi" w:cstheme="minorHAnsi"/>
          <w:szCs w:val="24"/>
        </w:rPr>
        <w:t xml:space="preserve"> al inversor, ya que </w:t>
      </w:r>
      <w:r w:rsidR="0062459D" w:rsidRPr="0080490E">
        <w:rPr>
          <w:rFonts w:asciiTheme="minorHAnsi" w:hAnsiTheme="minorHAnsi" w:cstheme="minorHAnsi"/>
          <w:szCs w:val="24"/>
        </w:rPr>
        <w:t>su</w:t>
      </w:r>
      <w:r w:rsidRPr="0080490E">
        <w:rPr>
          <w:rFonts w:asciiTheme="minorHAnsi" w:hAnsiTheme="minorHAnsi" w:cstheme="minorHAnsi"/>
          <w:szCs w:val="24"/>
        </w:rPr>
        <w:t xml:space="preserve"> aportación se realiza en el marco de un contrato de préstamo que siempre faculta al prestamista a exigir el capital </w:t>
      </w:r>
      <w:r w:rsidR="001710CD" w:rsidRPr="0080490E">
        <w:rPr>
          <w:rFonts w:asciiTheme="minorHAnsi" w:hAnsiTheme="minorHAnsi" w:cstheme="minorHAnsi"/>
          <w:szCs w:val="24"/>
        </w:rPr>
        <w:t>prestado</w:t>
      </w:r>
      <w:r w:rsidRPr="0080490E">
        <w:rPr>
          <w:rFonts w:asciiTheme="minorHAnsi" w:hAnsiTheme="minorHAnsi" w:cstheme="minorHAnsi"/>
          <w:szCs w:val="24"/>
        </w:rPr>
        <w:t xml:space="preserve">, sin perjuicio de que </w:t>
      </w:r>
      <w:r w:rsidR="0062459D" w:rsidRPr="0080490E">
        <w:rPr>
          <w:rFonts w:asciiTheme="minorHAnsi" w:hAnsiTheme="minorHAnsi" w:cstheme="minorHAnsi"/>
          <w:szCs w:val="24"/>
        </w:rPr>
        <w:t xml:space="preserve">su crédito </w:t>
      </w:r>
      <w:r w:rsidRPr="0080490E">
        <w:rPr>
          <w:rFonts w:asciiTheme="minorHAnsi" w:hAnsiTheme="minorHAnsi" w:cstheme="minorHAnsi"/>
          <w:szCs w:val="24"/>
        </w:rPr>
        <w:t xml:space="preserve">se califique como subordinado en caso de concurso del </w:t>
      </w:r>
      <w:r w:rsidR="0062459D" w:rsidRPr="0080490E">
        <w:rPr>
          <w:rFonts w:asciiTheme="minorHAnsi" w:hAnsiTheme="minorHAnsi" w:cstheme="minorHAnsi"/>
          <w:szCs w:val="24"/>
        </w:rPr>
        <w:t>deudor</w:t>
      </w:r>
      <w:r w:rsidR="00BB7CC5" w:rsidRPr="0080490E">
        <w:rPr>
          <w:rStyle w:val="Refdenotaalpie"/>
          <w:rFonts w:asciiTheme="minorHAnsi" w:hAnsiTheme="minorHAnsi" w:cstheme="minorHAnsi"/>
          <w:szCs w:val="24"/>
        </w:rPr>
        <w:footnoteReference w:id="51"/>
      </w:r>
      <w:r w:rsidR="00DD4AB0" w:rsidRPr="0080490E">
        <w:rPr>
          <w:rFonts w:asciiTheme="minorHAnsi" w:hAnsiTheme="minorHAnsi" w:cstheme="minorHAnsi"/>
          <w:szCs w:val="24"/>
        </w:rPr>
        <w:t>.</w:t>
      </w:r>
      <w:r w:rsidR="00EC0437" w:rsidRPr="0080490E">
        <w:rPr>
          <w:rFonts w:asciiTheme="minorHAnsi" w:hAnsiTheme="minorHAnsi" w:cstheme="minorHAnsi"/>
          <w:szCs w:val="24"/>
        </w:rPr>
        <w:t xml:space="preserve"> Esta nota permite distinguir el préstamo participativo del contrato de cuenta en participación. Si en el primero la entidad que solicita la financiación siempre viene obligada a la devolución del capital prestado, en la cuenta en participación «el partícipe no conserva un crédito para la restitución de lo aportado, sino para la obtención de su parte en las ganancias, previa la liquidación y rendición de cuentas que proceda» (STS de 30 de mayo de 2008 [RJ 3192]).</w:t>
      </w:r>
    </w:p>
    <w:p w14:paraId="20E48CC1" w14:textId="6DD46028" w:rsidR="001710CD" w:rsidRPr="0080490E" w:rsidRDefault="001710CD"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Por otro lado, el préstamo participativo excluye al inversor de las potenciales pérdidas económicas en las que incurra el promotor, mientras que la cuenta en participación el </w:t>
      </w:r>
      <w:r w:rsidRPr="0080490E">
        <w:rPr>
          <w:rFonts w:asciiTheme="minorHAnsi" w:hAnsiTheme="minorHAnsi" w:cstheme="minorHAnsi"/>
          <w:szCs w:val="24"/>
        </w:rPr>
        <w:lastRenderedPageBreak/>
        <w:t>rie</w:t>
      </w:r>
      <w:r w:rsidR="000538BD" w:rsidRPr="0080490E">
        <w:rPr>
          <w:rFonts w:asciiTheme="minorHAnsi" w:hAnsiTheme="minorHAnsi" w:cstheme="minorHAnsi"/>
          <w:szCs w:val="24"/>
        </w:rPr>
        <w:t>s</w:t>
      </w:r>
      <w:r w:rsidRPr="0080490E">
        <w:rPr>
          <w:rFonts w:asciiTheme="minorHAnsi" w:hAnsiTheme="minorHAnsi" w:cstheme="minorHAnsi"/>
          <w:szCs w:val="24"/>
        </w:rPr>
        <w:t xml:space="preserve">go abarca la </w:t>
      </w:r>
      <w:r w:rsidR="00061F2B" w:rsidRPr="0080490E">
        <w:rPr>
          <w:rFonts w:asciiTheme="minorHAnsi" w:hAnsiTheme="minorHAnsi" w:cstheme="minorHAnsi"/>
          <w:szCs w:val="24"/>
        </w:rPr>
        <w:t xml:space="preserve">íntegra </w:t>
      </w:r>
      <w:r w:rsidRPr="0080490E">
        <w:rPr>
          <w:rFonts w:asciiTheme="minorHAnsi" w:hAnsiTheme="minorHAnsi" w:cstheme="minorHAnsi"/>
          <w:szCs w:val="24"/>
        </w:rPr>
        <w:t>aportación del partícipe. Se entiende que este riesgo es significativamente mayor que la consideración como subordinado del crédito del prestamista en el préstamo participativo.</w:t>
      </w:r>
    </w:p>
    <w:p w14:paraId="41D545BC" w14:textId="6CA337B9" w:rsidR="00AD1722" w:rsidRPr="0080490E" w:rsidRDefault="0035520A"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Por último</w:t>
      </w:r>
      <w:r w:rsidR="00AD1722" w:rsidRPr="0080490E">
        <w:rPr>
          <w:rFonts w:asciiTheme="minorHAnsi" w:hAnsiTheme="minorHAnsi" w:cstheme="minorHAnsi"/>
          <w:szCs w:val="24"/>
        </w:rPr>
        <w:t xml:space="preserve">, </w:t>
      </w:r>
      <w:r w:rsidR="000538BD" w:rsidRPr="0080490E">
        <w:rPr>
          <w:rFonts w:asciiTheme="minorHAnsi" w:hAnsiTheme="minorHAnsi" w:cstheme="minorHAnsi"/>
          <w:szCs w:val="24"/>
        </w:rPr>
        <w:t xml:space="preserve">resulta preferible el préstamo participativo </w:t>
      </w:r>
      <w:r w:rsidR="00AD1722" w:rsidRPr="0080490E">
        <w:rPr>
          <w:rFonts w:asciiTheme="minorHAnsi" w:hAnsiTheme="minorHAnsi" w:cstheme="minorHAnsi"/>
          <w:szCs w:val="24"/>
        </w:rPr>
        <w:t xml:space="preserve">por la libertad </w:t>
      </w:r>
      <w:r w:rsidR="00C44204" w:rsidRPr="0080490E">
        <w:rPr>
          <w:rFonts w:asciiTheme="minorHAnsi" w:hAnsiTheme="minorHAnsi" w:cstheme="minorHAnsi"/>
          <w:szCs w:val="24"/>
        </w:rPr>
        <w:t>para</w:t>
      </w:r>
      <w:r w:rsidR="00AD1722" w:rsidRPr="0080490E">
        <w:rPr>
          <w:rFonts w:asciiTheme="minorHAnsi" w:hAnsiTheme="minorHAnsi" w:cstheme="minorHAnsi"/>
          <w:szCs w:val="24"/>
        </w:rPr>
        <w:t xml:space="preserve"> configurar la cláusula </w:t>
      </w:r>
      <w:r w:rsidR="00C44204" w:rsidRPr="0080490E">
        <w:rPr>
          <w:rFonts w:asciiTheme="minorHAnsi" w:hAnsiTheme="minorHAnsi" w:cstheme="minorHAnsi"/>
          <w:szCs w:val="24"/>
        </w:rPr>
        <w:t>que</w:t>
      </w:r>
      <w:r w:rsidR="00AD1722" w:rsidRPr="0080490E">
        <w:rPr>
          <w:rFonts w:asciiTheme="minorHAnsi" w:hAnsiTheme="minorHAnsi" w:cstheme="minorHAnsi"/>
          <w:szCs w:val="24"/>
        </w:rPr>
        <w:t xml:space="preserve"> concreta la retribución del </w:t>
      </w:r>
      <w:r w:rsidR="00C44204" w:rsidRPr="0080490E">
        <w:rPr>
          <w:rFonts w:asciiTheme="minorHAnsi" w:hAnsiTheme="minorHAnsi" w:cstheme="minorHAnsi"/>
          <w:szCs w:val="24"/>
        </w:rPr>
        <w:t>inversor</w:t>
      </w:r>
      <w:r w:rsidR="00AD1722" w:rsidRPr="0080490E">
        <w:rPr>
          <w:rFonts w:asciiTheme="minorHAnsi" w:hAnsiTheme="minorHAnsi" w:cstheme="minorHAnsi"/>
          <w:szCs w:val="24"/>
        </w:rPr>
        <w:t xml:space="preserve"> </w:t>
      </w:r>
      <w:r w:rsidR="008E4819" w:rsidRPr="0080490E">
        <w:rPr>
          <w:rFonts w:asciiTheme="minorHAnsi" w:hAnsiTheme="minorHAnsi" w:cstheme="minorHAnsi"/>
          <w:szCs w:val="24"/>
        </w:rPr>
        <w:t xml:space="preserve">que </w:t>
      </w:r>
      <w:r w:rsidR="000538BD" w:rsidRPr="0080490E">
        <w:rPr>
          <w:rFonts w:asciiTheme="minorHAnsi" w:hAnsiTheme="minorHAnsi" w:cstheme="minorHAnsi"/>
          <w:szCs w:val="24"/>
        </w:rPr>
        <w:t>podrá</w:t>
      </w:r>
      <w:r w:rsidR="008E4819" w:rsidRPr="0080490E">
        <w:rPr>
          <w:rFonts w:asciiTheme="minorHAnsi" w:hAnsiTheme="minorHAnsi" w:cstheme="minorHAnsi"/>
          <w:szCs w:val="24"/>
        </w:rPr>
        <w:t xml:space="preserve"> </w:t>
      </w:r>
      <w:r w:rsidR="00AD1722" w:rsidRPr="0080490E">
        <w:rPr>
          <w:rFonts w:asciiTheme="minorHAnsi" w:hAnsiTheme="minorHAnsi" w:cstheme="minorHAnsi"/>
          <w:szCs w:val="24"/>
        </w:rPr>
        <w:t>vincular</w:t>
      </w:r>
      <w:r w:rsidR="000538BD" w:rsidRPr="0080490E">
        <w:rPr>
          <w:rFonts w:asciiTheme="minorHAnsi" w:hAnsiTheme="minorHAnsi" w:cstheme="minorHAnsi"/>
          <w:szCs w:val="24"/>
        </w:rPr>
        <w:t>se</w:t>
      </w:r>
      <w:r w:rsidR="00AD1722" w:rsidRPr="0080490E">
        <w:rPr>
          <w:rFonts w:asciiTheme="minorHAnsi" w:hAnsiTheme="minorHAnsi" w:cstheme="minorHAnsi"/>
          <w:szCs w:val="24"/>
        </w:rPr>
        <w:t xml:space="preserve"> con los rendimientos económicos derivados de la explotación de un inmueble específico y no con el comportamiento económico general de la entidad financiada. La función retributiva de la cuenta en participación, por el contrario, parece ir vinculada con la evolución económica </w:t>
      </w:r>
      <w:r w:rsidR="00025D74" w:rsidRPr="0080490E">
        <w:rPr>
          <w:rFonts w:asciiTheme="minorHAnsi" w:hAnsiTheme="minorHAnsi" w:cstheme="minorHAnsi"/>
          <w:szCs w:val="24"/>
        </w:rPr>
        <w:t>de las cuentas anuales</w:t>
      </w:r>
      <w:r w:rsidR="00AD1722" w:rsidRPr="0080490E">
        <w:rPr>
          <w:rFonts w:asciiTheme="minorHAnsi" w:hAnsiTheme="minorHAnsi" w:cstheme="minorHAnsi"/>
          <w:szCs w:val="24"/>
        </w:rPr>
        <w:t xml:space="preserve"> del gestor</w:t>
      </w:r>
      <w:r w:rsidR="00691CD2" w:rsidRPr="0080490E">
        <w:rPr>
          <w:rStyle w:val="Refdenotaalpie"/>
          <w:rFonts w:asciiTheme="minorHAnsi" w:hAnsiTheme="minorHAnsi" w:cstheme="minorHAnsi"/>
          <w:szCs w:val="24"/>
        </w:rPr>
        <w:footnoteReference w:id="52"/>
      </w:r>
      <w:r w:rsidR="00AD1722" w:rsidRPr="0080490E">
        <w:rPr>
          <w:rFonts w:asciiTheme="minorHAnsi" w:hAnsiTheme="minorHAnsi" w:cstheme="minorHAnsi"/>
          <w:szCs w:val="24"/>
        </w:rPr>
        <w:t>.</w:t>
      </w:r>
    </w:p>
    <w:p w14:paraId="49C3513F" w14:textId="77777777" w:rsidR="004A0A81" w:rsidRPr="0080490E" w:rsidRDefault="004A0A81" w:rsidP="0080490E">
      <w:pPr>
        <w:spacing w:after="0" w:line="276" w:lineRule="auto"/>
        <w:ind w:firstLine="0"/>
        <w:rPr>
          <w:rFonts w:asciiTheme="minorHAnsi" w:hAnsiTheme="minorHAnsi" w:cstheme="minorHAnsi"/>
          <w:szCs w:val="24"/>
        </w:rPr>
      </w:pPr>
    </w:p>
    <w:p w14:paraId="566E7BC7" w14:textId="1CF2A209" w:rsidR="004F40A3" w:rsidRPr="0080490E" w:rsidRDefault="00842164" w:rsidP="0080490E">
      <w:pPr>
        <w:pStyle w:val="Ttulo1"/>
        <w:spacing w:after="0" w:line="276" w:lineRule="auto"/>
        <w:ind w:firstLine="0"/>
        <w:rPr>
          <w:rFonts w:asciiTheme="minorHAnsi" w:hAnsiTheme="minorHAnsi" w:cstheme="minorHAnsi"/>
        </w:rPr>
      </w:pPr>
      <w:r w:rsidRPr="0080490E">
        <w:rPr>
          <w:rFonts w:asciiTheme="minorHAnsi" w:hAnsiTheme="minorHAnsi" w:cstheme="minorHAnsi"/>
        </w:rPr>
        <w:t>6</w:t>
      </w:r>
      <w:r w:rsidR="004F40A3" w:rsidRPr="0080490E">
        <w:rPr>
          <w:rFonts w:asciiTheme="minorHAnsi" w:hAnsiTheme="minorHAnsi" w:cstheme="minorHAnsi"/>
        </w:rPr>
        <w:t xml:space="preserve">. </w:t>
      </w:r>
      <w:r w:rsidRPr="0080490E">
        <w:rPr>
          <w:rFonts w:asciiTheme="minorHAnsi" w:hAnsiTheme="minorHAnsi" w:cstheme="minorHAnsi"/>
        </w:rPr>
        <w:t>Regulación de la inversión tokenizada directa</w:t>
      </w:r>
    </w:p>
    <w:p w14:paraId="4D9DC864" w14:textId="0315E13F" w:rsidR="00842164" w:rsidRPr="0080490E" w:rsidRDefault="00842164" w:rsidP="0080490E">
      <w:pPr>
        <w:pStyle w:val="Ttulo2"/>
        <w:spacing w:after="0" w:line="276" w:lineRule="auto"/>
        <w:ind w:firstLine="0"/>
        <w:rPr>
          <w:rFonts w:asciiTheme="minorHAnsi" w:hAnsiTheme="minorHAnsi" w:cstheme="minorHAnsi"/>
          <w:szCs w:val="24"/>
        </w:rPr>
      </w:pPr>
      <w:r w:rsidRPr="0080490E">
        <w:rPr>
          <w:rFonts w:asciiTheme="minorHAnsi" w:hAnsiTheme="minorHAnsi" w:cstheme="minorHAnsi"/>
          <w:szCs w:val="24"/>
        </w:rPr>
        <w:t>6.1. El vacío normativo (parcial) de la financiación directa tokenizada</w:t>
      </w:r>
    </w:p>
    <w:p w14:paraId="528689AD" w14:textId="27A8A09F" w:rsidR="008648AA" w:rsidRPr="0080490E" w:rsidRDefault="00B65DD7"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El presente apartado tiene como objetivo </w:t>
      </w:r>
      <w:r w:rsidR="00EA746F" w:rsidRPr="0080490E">
        <w:rPr>
          <w:rFonts w:asciiTheme="minorHAnsi" w:hAnsiTheme="minorHAnsi" w:cstheme="minorHAnsi"/>
          <w:szCs w:val="24"/>
        </w:rPr>
        <w:t>delimitar</w:t>
      </w:r>
      <w:r w:rsidRPr="0080490E">
        <w:rPr>
          <w:rFonts w:asciiTheme="minorHAnsi" w:hAnsiTheme="minorHAnsi" w:cstheme="minorHAnsi"/>
          <w:szCs w:val="24"/>
        </w:rPr>
        <w:t xml:space="preserve"> la normativa </w:t>
      </w:r>
      <w:r w:rsidR="00EA746F" w:rsidRPr="0080490E">
        <w:rPr>
          <w:rFonts w:asciiTheme="minorHAnsi" w:hAnsiTheme="minorHAnsi" w:cstheme="minorHAnsi"/>
          <w:szCs w:val="24"/>
        </w:rPr>
        <w:t xml:space="preserve">que regula </w:t>
      </w:r>
      <w:r w:rsidRPr="0080490E">
        <w:rPr>
          <w:rFonts w:asciiTheme="minorHAnsi" w:hAnsiTheme="minorHAnsi" w:cstheme="minorHAnsi"/>
          <w:szCs w:val="24"/>
        </w:rPr>
        <w:t>las operaciones de financiación participativa</w:t>
      </w:r>
      <w:r w:rsidR="00737E2E" w:rsidRPr="0080490E">
        <w:rPr>
          <w:rFonts w:asciiTheme="minorHAnsi" w:hAnsiTheme="minorHAnsi" w:cstheme="minorHAnsi"/>
          <w:szCs w:val="24"/>
        </w:rPr>
        <w:t xml:space="preserve">, </w:t>
      </w:r>
      <w:proofErr w:type="spellStart"/>
      <w:r w:rsidR="00737E2E" w:rsidRPr="0080490E">
        <w:rPr>
          <w:rFonts w:asciiTheme="minorHAnsi" w:hAnsiTheme="minorHAnsi" w:cstheme="minorHAnsi"/>
          <w:i/>
          <w:iCs/>
          <w:szCs w:val="24"/>
        </w:rPr>
        <w:t>on</w:t>
      </w:r>
      <w:proofErr w:type="spellEnd"/>
      <w:r w:rsidR="00737E2E" w:rsidRPr="0080490E">
        <w:rPr>
          <w:rFonts w:asciiTheme="minorHAnsi" w:hAnsiTheme="minorHAnsi" w:cstheme="minorHAnsi"/>
          <w:i/>
          <w:iCs/>
          <w:szCs w:val="24"/>
        </w:rPr>
        <w:t xml:space="preserve"> line</w:t>
      </w:r>
      <w:r w:rsidR="00737E2E" w:rsidRPr="0080490E">
        <w:rPr>
          <w:rFonts w:asciiTheme="minorHAnsi" w:hAnsiTheme="minorHAnsi" w:cstheme="minorHAnsi"/>
          <w:szCs w:val="24"/>
        </w:rPr>
        <w:t xml:space="preserve">, </w:t>
      </w:r>
      <w:r w:rsidRPr="0080490E">
        <w:rPr>
          <w:rFonts w:asciiTheme="minorHAnsi" w:hAnsiTheme="minorHAnsi" w:cstheme="minorHAnsi"/>
          <w:szCs w:val="24"/>
        </w:rPr>
        <w:t>directa y tokenizada.</w:t>
      </w:r>
      <w:r w:rsidR="00997833" w:rsidRPr="0080490E">
        <w:rPr>
          <w:rFonts w:asciiTheme="minorHAnsi" w:hAnsiTheme="minorHAnsi" w:cstheme="minorHAnsi"/>
          <w:szCs w:val="24"/>
        </w:rPr>
        <w:t xml:space="preserve"> La vertiente contractual está cubierta por la escasa pero suficiente regulación de los contratos de préstamo participativo y cuentas en participación. Por su configuración constituyen contratos electrónicos y de adhesión entre un profesional y un inversor que podría tener la consideración de consumidor. De ahí que en la regulación del contrato tokenizado haya que tener en cuenta la Ley de Servicios de la Sociedad de la Información y de Comercio Electrónico, la Ley de Condiciones Generales de la Contratación y, en su caso, el Texto Refundido de la Ley General de Defensa de Consumidores y Usuarios</w:t>
      </w:r>
      <w:r w:rsidR="008648AA" w:rsidRPr="0080490E">
        <w:rPr>
          <w:rStyle w:val="Refdenotaalpie"/>
          <w:rFonts w:asciiTheme="minorHAnsi" w:hAnsiTheme="minorHAnsi" w:cstheme="minorHAnsi"/>
          <w:szCs w:val="24"/>
        </w:rPr>
        <w:footnoteReference w:id="53"/>
      </w:r>
      <w:r w:rsidR="008648AA" w:rsidRPr="0080490E">
        <w:rPr>
          <w:rFonts w:asciiTheme="minorHAnsi" w:hAnsiTheme="minorHAnsi" w:cstheme="minorHAnsi"/>
          <w:szCs w:val="24"/>
        </w:rPr>
        <w:t>. En este sentido, la aplicación de los artículos 2 y 3 TRLGDCU resulta indudable, pues su dicción es objetiva y atiende al carácter extraprofesional de la actividad del consumidor. Además, en estos casos, el inversor no profesional puede padecer un desequilibrio contractual porque será el promotor del proyecto quien predisponga las condiciones particulares y generales del contrato, por lo que, como consumidor, seguirá precisando protección</w:t>
      </w:r>
      <w:r w:rsidR="008648AA" w:rsidRPr="0080490E">
        <w:rPr>
          <w:rStyle w:val="Refdenotaalpie"/>
          <w:rFonts w:asciiTheme="minorHAnsi" w:hAnsiTheme="minorHAnsi" w:cstheme="minorHAnsi"/>
          <w:szCs w:val="24"/>
        </w:rPr>
        <w:footnoteReference w:id="54"/>
      </w:r>
      <w:r w:rsidR="008648AA" w:rsidRPr="0080490E">
        <w:rPr>
          <w:rFonts w:asciiTheme="minorHAnsi" w:hAnsiTheme="minorHAnsi" w:cstheme="minorHAnsi"/>
          <w:szCs w:val="24"/>
        </w:rPr>
        <w:t>.</w:t>
      </w:r>
    </w:p>
    <w:p w14:paraId="77AB5240" w14:textId="1145FC53" w:rsidR="00DE3678" w:rsidRPr="0080490E" w:rsidRDefault="00997833"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No obstante</w:t>
      </w:r>
      <w:r w:rsidR="00DE3678" w:rsidRPr="0080490E">
        <w:rPr>
          <w:rFonts w:asciiTheme="minorHAnsi" w:hAnsiTheme="minorHAnsi" w:cstheme="minorHAnsi"/>
          <w:szCs w:val="24"/>
        </w:rPr>
        <w:t xml:space="preserve">, resulta llamativo el dispar tratamiento que el legislador otorga a </w:t>
      </w:r>
      <w:r w:rsidRPr="0080490E">
        <w:rPr>
          <w:rFonts w:asciiTheme="minorHAnsi" w:hAnsiTheme="minorHAnsi" w:cstheme="minorHAnsi"/>
          <w:szCs w:val="24"/>
        </w:rPr>
        <w:t xml:space="preserve">estas operaciones de inversión </w:t>
      </w:r>
      <w:r w:rsidR="00C1725A" w:rsidRPr="0080490E">
        <w:rPr>
          <w:rFonts w:asciiTheme="minorHAnsi" w:hAnsiTheme="minorHAnsi" w:cstheme="minorHAnsi"/>
          <w:szCs w:val="24"/>
        </w:rPr>
        <w:t xml:space="preserve">si se compara con la </w:t>
      </w:r>
      <w:r w:rsidR="00BF23FB" w:rsidRPr="0080490E">
        <w:rPr>
          <w:rFonts w:asciiTheme="minorHAnsi" w:hAnsiTheme="minorHAnsi" w:cstheme="minorHAnsi"/>
          <w:szCs w:val="24"/>
        </w:rPr>
        <w:t>ordenación</w:t>
      </w:r>
      <w:r w:rsidRPr="0080490E">
        <w:rPr>
          <w:rFonts w:asciiTheme="minorHAnsi" w:hAnsiTheme="minorHAnsi" w:cstheme="minorHAnsi"/>
          <w:szCs w:val="24"/>
        </w:rPr>
        <w:t xml:space="preserve"> de </w:t>
      </w:r>
      <w:r w:rsidR="00DE3678" w:rsidRPr="0080490E">
        <w:rPr>
          <w:rFonts w:asciiTheme="minorHAnsi" w:hAnsiTheme="minorHAnsi" w:cstheme="minorHAnsi"/>
          <w:szCs w:val="24"/>
        </w:rPr>
        <w:t xml:space="preserve">situaciones conexas. Se observan diferencias </w:t>
      </w:r>
      <w:r w:rsidR="000538BD" w:rsidRPr="0080490E">
        <w:rPr>
          <w:rFonts w:asciiTheme="minorHAnsi" w:hAnsiTheme="minorHAnsi" w:cstheme="minorHAnsi"/>
          <w:szCs w:val="24"/>
        </w:rPr>
        <w:t xml:space="preserve">significativas </w:t>
      </w:r>
      <w:r w:rsidR="00DE3678" w:rsidRPr="0080490E">
        <w:rPr>
          <w:rFonts w:asciiTheme="minorHAnsi" w:hAnsiTheme="minorHAnsi" w:cstheme="minorHAnsi"/>
          <w:szCs w:val="24"/>
        </w:rPr>
        <w:t>entre la regulación de la financiación directa y la indirecta o intermediad</w:t>
      </w:r>
      <w:r w:rsidRPr="0080490E">
        <w:rPr>
          <w:rFonts w:asciiTheme="minorHAnsi" w:hAnsiTheme="minorHAnsi" w:cstheme="minorHAnsi"/>
          <w:szCs w:val="24"/>
        </w:rPr>
        <w:t xml:space="preserve">a y </w:t>
      </w:r>
      <w:r w:rsidR="00DE3678" w:rsidRPr="0080490E">
        <w:rPr>
          <w:rFonts w:asciiTheme="minorHAnsi" w:hAnsiTheme="minorHAnsi" w:cstheme="minorHAnsi"/>
          <w:szCs w:val="24"/>
        </w:rPr>
        <w:t>según los tokens representen o no un valor negociable.</w:t>
      </w:r>
    </w:p>
    <w:p w14:paraId="22E0978E" w14:textId="5A21355B" w:rsidR="00A958C2" w:rsidRPr="0080490E" w:rsidRDefault="00997833"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L</w:t>
      </w:r>
      <w:r w:rsidR="00340CEE" w:rsidRPr="0080490E">
        <w:rPr>
          <w:rFonts w:asciiTheme="minorHAnsi" w:hAnsiTheme="minorHAnsi" w:cstheme="minorHAnsi"/>
          <w:szCs w:val="24"/>
        </w:rPr>
        <w:t xml:space="preserve">as operaciones de financiación participativa, </w:t>
      </w:r>
      <w:proofErr w:type="spellStart"/>
      <w:r w:rsidR="00340CEE" w:rsidRPr="0080490E">
        <w:rPr>
          <w:rFonts w:asciiTheme="minorHAnsi" w:hAnsiTheme="minorHAnsi" w:cstheme="minorHAnsi"/>
          <w:i/>
          <w:iCs/>
          <w:szCs w:val="24"/>
        </w:rPr>
        <w:t>on</w:t>
      </w:r>
      <w:proofErr w:type="spellEnd"/>
      <w:r w:rsidR="00340CEE" w:rsidRPr="0080490E">
        <w:rPr>
          <w:rFonts w:asciiTheme="minorHAnsi" w:hAnsiTheme="minorHAnsi" w:cstheme="minorHAnsi"/>
          <w:i/>
          <w:iCs/>
          <w:szCs w:val="24"/>
        </w:rPr>
        <w:t xml:space="preserve"> line</w:t>
      </w:r>
      <w:r w:rsidR="00340CEE" w:rsidRPr="0080490E">
        <w:rPr>
          <w:rFonts w:asciiTheme="minorHAnsi" w:hAnsiTheme="minorHAnsi" w:cstheme="minorHAnsi"/>
          <w:szCs w:val="24"/>
        </w:rPr>
        <w:t xml:space="preserve">, directa y tokenizada son ajenas a </w:t>
      </w:r>
      <w:r w:rsidR="00FF6909" w:rsidRPr="0080490E">
        <w:rPr>
          <w:rFonts w:asciiTheme="minorHAnsi" w:hAnsiTheme="minorHAnsi" w:cstheme="minorHAnsi"/>
          <w:szCs w:val="24"/>
        </w:rPr>
        <w:t>la Ley 5/2015</w:t>
      </w:r>
      <w:r w:rsidR="00CF0F52" w:rsidRPr="0080490E">
        <w:rPr>
          <w:rFonts w:asciiTheme="minorHAnsi" w:hAnsiTheme="minorHAnsi" w:cstheme="minorHAnsi"/>
          <w:szCs w:val="24"/>
        </w:rPr>
        <w:t xml:space="preserve">, </w:t>
      </w:r>
      <w:r w:rsidR="00F27FF8" w:rsidRPr="0080490E">
        <w:rPr>
          <w:rFonts w:asciiTheme="minorHAnsi" w:hAnsiTheme="minorHAnsi" w:cstheme="minorHAnsi"/>
          <w:szCs w:val="24"/>
        </w:rPr>
        <w:t xml:space="preserve">principalmente, </w:t>
      </w:r>
      <w:r w:rsidR="00CF0F52" w:rsidRPr="0080490E">
        <w:rPr>
          <w:rFonts w:asciiTheme="minorHAnsi" w:hAnsiTheme="minorHAnsi" w:cstheme="minorHAnsi"/>
          <w:szCs w:val="24"/>
        </w:rPr>
        <w:t xml:space="preserve">porque </w:t>
      </w:r>
      <w:r w:rsidR="00FF6909" w:rsidRPr="0080490E">
        <w:rPr>
          <w:rFonts w:asciiTheme="minorHAnsi" w:hAnsiTheme="minorHAnsi" w:cstheme="minorHAnsi"/>
          <w:szCs w:val="24"/>
        </w:rPr>
        <w:t xml:space="preserve">esta Ley </w:t>
      </w:r>
      <w:r w:rsidR="00CF0F52" w:rsidRPr="0080490E">
        <w:rPr>
          <w:rFonts w:asciiTheme="minorHAnsi" w:hAnsiTheme="minorHAnsi" w:cstheme="minorHAnsi"/>
          <w:szCs w:val="24"/>
        </w:rPr>
        <w:t>únicamente regula la financiación inter</w:t>
      </w:r>
      <w:r w:rsidR="00CF0F52" w:rsidRPr="0080490E">
        <w:rPr>
          <w:rFonts w:asciiTheme="minorHAnsi" w:hAnsiTheme="minorHAnsi" w:cstheme="minorHAnsi"/>
          <w:szCs w:val="24"/>
        </w:rPr>
        <w:lastRenderedPageBreak/>
        <w:t>mediada por una plataforma</w:t>
      </w:r>
      <w:r w:rsidR="00F27FF8" w:rsidRPr="0080490E">
        <w:rPr>
          <w:rFonts w:asciiTheme="minorHAnsi" w:hAnsiTheme="minorHAnsi" w:cstheme="minorHAnsi"/>
          <w:szCs w:val="24"/>
        </w:rPr>
        <w:t xml:space="preserve"> y no la directa</w:t>
      </w:r>
      <w:r w:rsidR="00CF0F52" w:rsidRPr="0080490E">
        <w:rPr>
          <w:rFonts w:asciiTheme="minorHAnsi" w:hAnsiTheme="minorHAnsi" w:cstheme="minorHAnsi"/>
          <w:szCs w:val="24"/>
        </w:rPr>
        <w:t xml:space="preserve">. </w:t>
      </w:r>
      <w:r w:rsidR="007B0A16" w:rsidRPr="0080490E">
        <w:rPr>
          <w:rFonts w:asciiTheme="minorHAnsi" w:hAnsiTheme="minorHAnsi" w:cstheme="minorHAnsi"/>
          <w:szCs w:val="24"/>
        </w:rPr>
        <w:t>Además</w:t>
      </w:r>
      <w:r w:rsidR="00CF0F52" w:rsidRPr="0080490E">
        <w:rPr>
          <w:rFonts w:asciiTheme="minorHAnsi" w:hAnsiTheme="minorHAnsi" w:cstheme="minorHAnsi"/>
          <w:szCs w:val="24"/>
        </w:rPr>
        <w:t>, la financiación participativa a través de cuenta</w:t>
      </w:r>
      <w:r w:rsidR="007B0A16" w:rsidRPr="0080490E">
        <w:rPr>
          <w:rFonts w:asciiTheme="minorHAnsi" w:hAnsiTheme="minorHAnsi" w:cstheme="minorHAnsi"/>
          <w:szCs w:val="24"/>
        </w:rPr>
        <w:t>s</w:t>
      </w:r>
      <w:r w:rsidR="00CF0F52" w:rsidRPr="0080490E">
        <w:rPr>
          <w:rFonts w:asciiTheme="minorHAnsi" w:hAnsiTheme="minorHAnsi" w:cstheme="minorHAnsi"/>
          <w:szCs w:val="24"/>
        </w:rPr>
        <w:t xml:space="preserve"> en participación </w:t>
      </w:r>
      <w:r w:rsidR="00F7584A" w:rsidRPr="0080490E">
        <w:rPr>
          <w:rFonts w:asciiTheme="minorHAnsi" w:hAnsiTheme="minorHAnsi" w:cstheme="minorHAnsi"/>
          <w:szCs w:val="24"/>
        </w:rPr>
        <w:t>queda fuera de su ámbito</w:t>
      </w:r>
      <w:r w:rsidR="00206428" w:rsidRPr="0080490E">
        <w:rPr>
          <w:rFonts w:asciiTheme="minorHAnsi" w:hAnsiTheme="minorHAnsi" w:cstheme="minorHAnsi"/>
          <w:szCs w:val="24"/>
        </w:rPr>
        <w:t xml:space="preserve"> de aplicación</w:t>
      </w:r>
      <w:r w:rsidR="00F7584A" w:rsidRPr="0080490E">
        <w:rPr>
          <w:rFonts w:asciiTheme="minorHAnsi" w:hAnsiTheme="minorHAnsi" w:cstheme="minorHAnsi"/>
          <w:szCs w:val="24"/>
        </w:rPr>
        <w:t>. Así se deducía de</w:t>
      </w:r>
      <w:r w:rsidR="00E42805" w:rsidRPr="0080490E">
        <w:rPr>
          <w:rFonts w:asciiTheme="minorHAnsi" w:hAnsiTheme="minorHAnsi" w:cstheme="minorHAnsi"/>
          <w:szCs w:val="24"/>
        </w:rPr>
        <w:t>l artículo 50 LFFE</w:t>
      </w:r>
      <w:r w:rsidR="00F41F53" w:rsidRPr="0080490E">
        <w:rPr>
          <w:rFonts w:asciiTheme="minorHAnsi" w:hAnsiTheme="minorHAnsi" w:cstheme="minorHAnsi"/>
          <w:szCs w:val="24"/>
        </w:rPr>
        <w:t>,</w:t>
      </w:r>
      <w:r w:rsidR="00E42805" w:rsidRPr="0080490E">
        <w:rPr>
          <w:rFonts w:asciiTheme="minorHAnsi" w:hAnsiTheme="minorHAnsi" w:cstheme="minorHAnsi"/>
          <w:szCs w:val="24"/>
        </w:rPr>
        <w:t xml:space="preserve"> </w:t>
      </w:r>
      <w:r w:rsidR="00CF0F52" w:rsidRPr="0080490E">
        <w:rPr>
          <w:rFonts w:asciiTheme="minorHAnsi" w:hAnsiTheme="minorHAnsi" w:cstheme="minorHAnsi"/>
          <w:szCs w:val="24"/>
        </w:rPr>
        <w:t xml:space="preserve">vigente hasta la entrada en vigor </w:t>
      </w:r>
      <w:r w:rsidR="00DE3678" w:rsidRPr="0080490E">
        <w:rPr>
          <w:rFonts w:asciiTheme="minorHAnsi" w:hAnsiTheme="minorHAnsi" w:cstheme="minorHAnsi"/>
          <w:szCs w:val="24"/>
        </w:rPr>
        <w:t xml:space="preserve">del </w:t>
      </w:r>
      <w:r w:rsidR="00CF0F52" w:rsidRPr="0080490E">
        <w:rPr>
          <w:rFonts w:asciiTheme="minorHAnsi" w:hAnsiTheme="minorHAnsi" w:cstheme="minorHAnsi"/>
          <w:szCs w:val="24"/>
        </w:rPr>
        <w:t>Reglamento ECSP</w:t>
      </w:r>
      <w:r w:rsidR="00F41F53" w:rsidRPr="0080490E">
        <w:rPr>
          <w:rFonts w:asciiTheme="minorHAnsi" w:hAnsiTheme="minorHAnsi" w:cstheme="minorHAnsi"/>
          <w:szCs w:val="24"/>
        </w:rPr>
        <w:t>,</w:t>
      </w:r>
      <w:r w:rsidR="00DE3678" w:rsidRPr="0080490E">
        <w:rPr>
          <w:rFonts w:asciiTheme="minorHAnsi" w:hAnsiTheme="minorHAnsi" w:cstheme="minorHAnsi"/>
          <w:szCs w:val="24"/>
        </w:rPr>
        <w:t xml:space="preserve"> que limitaba l</w:t>
      </w:r>
      <w:r w:rsidR="007761ED" w:rsidRPr="0080490E">
        <w:rPr>
          <w:rFonts w:asciiTheme="minorHAnsi" w:hAnsiTheme="minorHAnsi" w:cstheme="minorHAnsi"/>
          <w:szCs w:val="24"/>
        </w:rPr>
        <w:t>as</w:t>
      </w:r>
      <w:r w:rsidR="0004112A" w:rsidRPr="0080490E">
        <w:rPr>
          <w:rFonts w:asciiTheme="minorHAnsi" w:hAnsiTheme="minorHAnsi" w:cstheme="minorHAnsi"/>
          <w:szCs w:val="24"/>
        </w:rPr>
        <w:t xml:space="preserve"> posibles</w:t>
      </w:r>
      <w:r w:rsidR="007761ED" w:rsidRPr="0080490E">
        <w:rPr>
          <w:rFonts w:asciiTheme="minorHAnsi" w:hAnsiTheme="minorHAnsi" w:cstheme="minorHAnsi"/>
          <w:szCs w:val="24"/>
        </w:rPr>
        <w:t xml:space="preserve"> formas </w:t>
      </w:r>
      <w:r w:rsidR="00DE3678" w:rsidRPr="0080490E">
        <w:rPr>
          <w:rFonts w:asciiTheme="minorHAnsi" w:hAnsiTheme="minorHAnsi" w:cstheme="minorHAnsi"/>
          <w:szCs w:val="24"/>
        </w:rPr>
        <w:t>de financiación</w:t>
      </w:r>
      <w:r w:rsidR="00CF0F52" w:rsidRPr="0080490E">
        <w:rPr>
          <w:rFonts w:asciiTheme="minorHAnsi" w:hAnsiTheme="minorHAnsi" w:cstheme="minorHAnsi"/>
          <w:szCs w:val="24"/>
        </w:rPr>
        <w:t xml:space="preserve">. </w:t>
      </w:r>
      <w:r w:rsidR="00DE3678" w:rsidRPr="0080490E">
        <w:rPr>
          <w:rFonts w:asciiTheme="minorHAnsi" w:hAnsiTheme="minorHAnsi" w:cstheme="minorHAnsi"/>
          <w:szCs w:val="24"/>
        </w:rPr>
        <w:t>De ahí que l</w:t>
      </w:r>
      <w:r w:rsidR="0091003F" w:rsidRPr="0080490E">
        <w:rPr>
          <w:rFonts w:asciiTheme="minorHAnsi" w:hAnsiTheme="minorHAnsi" w:cstheme="minorHAnsi"/>
          <w:szCs w:val="24"/>
        </w:rPr>
        <w:t xml:space="preserve">as plataformas no </w:t>
      </w:r>
      <w:r w:rsidR="00DE3678" w:rsidRPr="0080490E">
        <w:rPr>
          <w:rFonts w:asciiTheme="minorHAnsi" w:hAnsiTheme="minorHAnsi" w:cstheme="minorHAnsi"/>
          <w:szCs w:val="24"/>
        </w:rPr>
        <w:t>pudieran hacer uso</w:t>
      </w:r>
      <w:r w:rsidR="0091003F" w:rsidRPr="0080490E">
        <w:rPr>
          <w:rFonts w:asciiTheme="minorHAnsi" w:hAnsiTheme="minorHAnsi" w:cstheme="minorHAnsi"/>
          <w:szCs w:val="24"/>
        </w:rPr>
        <w:t xml:space="preserve"> </w:t>
      </w:r>
      <w:r w:rsidR="00F41F53" w:rsidRPr="0080490E">
        <w:rPr>
          <w:rFonts w:asciiTheme="minorHAnsi" w:hAnsiTheme="minorHAnsi" w:cstheme="minorHAnsi"/>
          <w:szCs w:val="24"/>
        </w:rPr>
        <w:t xml:space="preserve">de </w:t>
      </w:r>
      <w:r w:rsidR="00DE3678" w:rsidRPr="0080490E">
        <w:rPr>
          <w:rFonts w:asciiTheme="minorHAnsi" w:hAnsiTheme="minorHAnsi" w:cstheme="minorHAnsi"/>
          <w:szCs w:val="24"/>
        </w:rPr>
        <w:t>otros</w:t>
      </w:r>
      <w:r w:rsidR="0091003F" w:rsidRPr="0080490E">
        <w:rPr>
          <w:rFonts w:asciiTheme="minorHAnsi" w:hAnsiTheme="minorHAnsi" w:cstheme="minorHAnsi"/>
          <w:szCs w:val="24"/>
        </w:rPr>
        <w:t xml:space="preserve"> </w:t>
      </w:r>
      <w:r w:rsidR="0004112A" w:rsidRPr="0080490E">
        <w:rPr>
          <w:rFonts w:asciiTheme="minorHAnsi" w:hAnsiTheme="minorHAnsi" w:cstheme="minorHAnsi"/>
          <w:szCs w:val="24"/>
        </w:rPr>
        <w:t>instrumentos</w:t>
      </w:r>
      <w:r w:rsidR="00DE3678" w:rsidRPr="0080490E">
        <w:rPr>
          <w:rFonts w:asciiTheme="minorHAnsi" w:hAnsiTheme="minorHAnsi" w:cstheme="minorHAnsi"/>
          <w:szCs w:val="24"/>
        </w:rPr>
        <w:t xml:space="preserve"> como </w:t>
      </w:r>
      <w:r w:rsidR="0091003F" w:rsidRPr="0080490E">
        <w:rPr>
          <w:rFonts w:asciiTheme="minorHAnsi" w:hAnsiTheme="minorHAnsi" w:cstheme="minorHAnsi"/>
          <w:szCs w:val="24"/>
        </w:rPr>
        <w:t>cesiones de créditos, descuentos de facturas o pagarés o cuentas en participación</w:t>
      </w:r>
      <w:r w:rsidR="0091003F" w:rsidRPr="0080490E">
        <w:rPr>
          <w:rStyle w:val="Refdenotaalpie"/>
          <w:rFonts w:asciiTheme="minorHAnsi" w:hAnsiTheme="minorHAnsi" w:cstheme="minorHAnsi"/>
          <w:szCs w:val="24"/>
        </w:rPr>
        <w:footnoteReference w:id="55"/>
      </w:r>
      <w:r w:rsidR="0091003F" w:rsidRPr="0080490E">
        <w:rPr>
          <w:rFonts w:asciiTheme="minorHAnsi" w:hAnsiTheme="minorHAnsi" w:cstheme="minorHAnsi"/>
          <w:szCs w:val="24"/>
        </w:rPr>
        <w:t>.</w:t>
      </w:r>
      <w:r w:rsidR="00DA0777" w:rsidRPr="0080490E">
        <w:rPr>
          <w:rFonts w:asciiTheme="minorHAnsi" w:hAnsiTheme="minorHAnsi" w:cstheme="minorHAnsi"/>
          <w:szCs w:val="24"/>
        </w:rPr>
        <w:t xml:space="preserve"> </w:t>
      </w:r>
      <w:r w:rsidR="00A958C2" w:rsidRPr="0080490E">
        <w:rPr>
          <w:rFonts w:asciiTheme="minorHAnsi" w:hAnsiTheme="minorHAnsi" w:cstheme="minorHAnsi"/>
          <w:szCs w:val="24"/>
        </w:rPr>
        <w:t xml:space="preserve">El </w:t>
      </w:r>
      <w:r w:rsidR="00A958C2" w:rsidRPr="0080490E">
        <w:rPr>
          <w:rFonts w:asciiTheme="minorHAnsi" w:hAnsiTheme="minorHAnsi" w:cstheme="minorHAnsi"/>
          <w:i/>
          <w:iCs/>
          <w:szCs w:val="24"/>
        </w:rPr>
        <w:t>crowdfunding</w:t>
      </w:r>
      <w:r w:rsidR="00A958C2" w:rsidRPr="0080490E">
        <w:rPr>
          <w:rFonts w:asciiTheme="minorHAnsi" w:hAnsiTheme="minorHAnsi" w:cstheme="minorHAnsi"/>
          <w:szCs w:val="24"/>
        </w:rPr>
        <w:t xml:space="preserve"> intermediado a través de cuentas en participación solo se permitía</w:t>
      </w:r>
      <w:r w:rsidR="00EA19C5" w:rsidRPr="0080490E">
        <w:rPr>
          <w:rFonts w:asciiTheme="minorHAnsi" w:hAnsiTheme="minorHAnsi" w:cstheme="minorHAnsi"/>
          <w:szCs w:val="24"/>
        </w:rPr>
        <w:t>, por tanto,</w:t>
      </w:r>
      <w:r w:rsidR="00A958C2" w:rsidRPr="0080490E">
        <w:rPr>
          <w:rFonts w:asciiTheme="minorHAnsi" w:hAnsiTheme="minorHAnsi" w:cstheme="minorHAnsi"/>
          <w:szCs w:val="24"/>
        </w:rPr>
        <w:t xml:space="preserve"> si era realizado por una entidad diferente a una plataforma de financiación participativa, que prestara sus servicios al margen de la Ley </w:t>
      </w:r>
      <w:r w:rsidR="0004112A" w:rsidRPr="0080490E">
        <w:rPr>
          <w:rFonts w:asciiTheme="minorHAnsi" w:hAnsiTheme="minorHAnsi" w:cstheme="minorHAnsi"/>
          <w:szCs w:val="24"/>
        </w:rPr>
        <w:t xml:space="preserve">5/2015 </w:t>
      </w:r>
      <w:r w:rsidR="00A958C2" w:rsidRPr="0080490E">
        <w:rPr>
          <w:rFonts w:asciiTheme="minorHAnsi" w:hAnsiTheme="minorHAnsi" w:cstheme="minorHAnsi"/>
          <w:szCs w:val="24"/>
        </w:rPr>
        <w:t>sin vulnerar la reserva de actividad establecida en el artículo 48 LFFE</w:t>
      </w:r>
      <w:r w:rsidR="00AF36B1" w:rsidRPr="0080490E">
        <w:rPr>
          <w:rStyle w:val="Refdenotaalpie"/>
          <w:rFonts w:asciiTheme="minorHAnsi" w:hAnsiTheme="minorHAnsi" w:cstheme="minorHAnsi"/>
          <w:szCs w:val="24"/>
        </w:rPr>
        <w:footnoteReference w:id="56"/>
      </w:r>
      <w:r w:rsidR="00A958C2" w:rsidRPr="0080490E">
        <w:rPr>
          <w:rFonts w:asciiTheme="minorHAnsi" w:hAnsiTheme="minorHAnsi" w:cstheme="minorHAnsi"/>
          <w:szCs w:val="24"/>
        </w:rPr>
        <w:t>.</w:t>
      </w:r>
    </w:p>
    <w:p w14:paraId="49E681DC" w14:textId="6AAB9136" w:rsidR="00CF0F52" w:rsidRPr="0080490E" w:rsidRDefault="00CF0F52"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Una vez </w:t>
      </w:r>
      <w:r w:rsidR="008A3CF9" w:rsidRPr="0080490E">
        <w:rPr>
          <w:rFonts w:asciiTheme="minorHAnsi" w:hAnsiTheme="minorHAnsi" w:cstheme="minorHAnsi"/>
          <w:szCs w:val="24"/>
        </w:rPr>
        <w:t>vigente</w:t>
      </w:r>
      <w:r w:rsidRPr="0080490E">
        <w:rPr>
          <w:rFonts w:asciiTheme="minorHAnsi" w:hAnsiTheme="minorHAnsi" w:cstheme="minorHAnsi"/>
          <w:szCs w:val="24"/>
        </w:rPr>
        <w:t xml:space="preserve"> el Reglamento ECSP </w:t>
      </w:r>
      <w:r w:rsidR="0004112A" w:rsidRPr="0080490E">
        <w:rPr>
          <w:rFonts w:asciiTheme="minorHAnsi" w:hAnsiTheme="minorHAnsi" w:cstheme="minorHAnsi"/>
          <w:szCs w:val="24"/>
        </w:rPr>
        <w:t xml:space="preserve">también </w:t>
      </w:r>
      <w:r w:rsidRPr="0080490E">
        <w:rPr>
          <w:rFonts w:asciiTheme="minorHAnsi" w:hAnsiTheme="minorHAnsi" w:cstheme="minorHAnsi"/>
          <w:szCs w:val="24"/>
        </w:rPr>
        <w:t xml:space="preserve">se puede defender </w:t>
      </w:r>
      <w:r w:rsidR="0004112A" w:rsidRPr="0080490E">
        <w:rPr>
          <w:rFonts w:asciiTheme="minorHAnsi" w:hAnsiTheme="minorHAnsi" w:cstheme="minorHAnsi"/>
          <w:szCs w:val="24"/>
        </w:rPr>
        <w:t>la</w:t>
      </w:r>
      <w:r w:rsidR="00DF483A" w:rsidRPr="0080490E">
        <w:rPr>
          <w:rFonts w:asciiTheme="minorHAnsi" w:hAnsiTheme="minorHAnsi" w:cstheme="minorHAnsi"/>
          <w:szCs w:val="24"/>
        </w:rPr>
        <w:t xml:space="preserve"> exclusión </w:t>
      </w:r>
      <w:r w:rsidR="0004112A" w:rsidRPr="0080490E">
        <w:rPr>
          <w:rFonts w:asciiTheme="minorHAnsi" w:hAnsiTheme="minorHAnsi" w:cstheme="minorHAnsi"/>
          <w:szCs w:val="24"/>
        </w:rPr>
        <w:t xml:space="preserve">de las cuentas en participación </w:t>
      </w:r>
      <w:r w:rsidR="00DF483A" w:rsidRPr="0080490E">
        <w:rPr>
          <w:rFonts w:asciiTheme="minorHAnsi" w:hAnsiTheme="minorHAnsi" w:cstheme="minorHAnsi"/>
          <w:szCs w:val="24"/>
        </w:rPr>
        <w:t xml:space="preserve">con base en </w:t>
      </w:r>
      <w:r w:rsidR="0004112A" w:rsidRPr="0080490E">
        <w:rPr>
          <w:rFonts w:asciiTheme="minorHAnsi" w:hAnsiTheme="minorHAnsi" w:cstheme="minorHAnsi"/>
          <w:szCs w:val="24"/>
        </w:rPr>
        <w:t>su</w:t>
      </w:r>
      <w:r w:rsidR="00DF483A" w:rsidRPr="0080490E">
        <w:rPr>
          <w:rFonts w:asciiTheme="minorHAnsi" w:hAnsiTheme="minorHAnsi" w:cstheme="minorHAnsi"/>
          <w:szCs w:val="24"/>
        </w:rPr>
        <w:t xml:space="preserve"> artículo 2.1.a) que limita la actividad de las plataformas de intermediación a la concesión de créditos y </w:t>
      </w:r>
      <w:r w:rsidR="00D2433D" w:rsidRPr="0080490E">
        <w:rPr>
          <w:rFonts w:asciiTheme="minorHAnsi" w:hAnsiTheme="minorHAnsi" w:cstheme="minorHAnsi"/>
          <w:szCs w:val="24"/>
        </w:rPr>
        <w:t xml:space="preserve">a </w:t>
      </w:r>
      <w:r w:rsidR="00DF483A" w:rsidRPr="0080490E">
        <w:rPr>
          <w:rFonts w:asciiTheme="minorHAnsi" w:hAnsiTheme="minorHAnsi" w:cstheme="minorHAnsi"/>
          <w:szCs w:val="24"/>
        </w:rPr>
        <w:t xml:space="preserve">la colocación de valores </w:t>
      </w:r>
      <w:r w:rsidR="0033303F" w:rsidRPr="0080490E">
        <w:rPr>
          <w:rFonts w:asciiTheme="minorHAnsi" w:hAnsiTheme="minorHAnsi" w:cstheme="minorHAnsi"/>
          <w:szCs w:val="24"/>
        </w:rPr>
        <w:t>negociable</w:t>
      </w:r>
      <w:r w:rsidR="00DF483A" w:rsidRPr="0080490E">
        <w:rPr>
          <w:rFonts w:asciiTheme="minorHAnsi" w:hAnsiTheme="minorHAnsi" w:cstheme="minorHAnsi"/>
          <w:szCs w:val="24"/>
        </w:rPr>
        <w:t>s y de instrumentos admitidos para la financiación participativa.</w:t>
      </w:r>
    </w:p>
    <w:p w14:paraId="110DFD48" w14:textId="0F829CD3" w:rsidR="00D62B72" w:rsidRPr="0080490E" w:rsidRDefault="0004112A"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T</w:t>
      </w:r>
      <w:r w:rsidR="00D62B72" w:rsidRPr="0080490E">
        <w:rPr>
          <w:rFonts w:asciiTheme="minorHAnsi" w:hAnsiTheme="minorHAnsi" w:cstheme="minorHAnsi"/>
          <w:szCs w:val="24"/>
        </w:rPr>
        <w:t xml:space="preserve">ampoco procede la aplicación de la Ley 5/2019, de 15 de marzo, reguladora de los contratos de crédito inmobiliario, pues el modelo de negocio propuesto está fuera de su ámbito de aplicación. Aunque la financiación del promotor </w:t>
      </w:r>
      <w:r w:rsidRPr="0080490E">
        <w:rPr>
          <w:rFonts w:asciiTheme="minorHAnsi" w:hAnsiTheme="minorHAnsi" w:cstheme="minorHAnsi"/>
          <w:szCs w:val="24"/>
        </w:rPr>
        <w:t xml:space="preserve">pueda </w:t>
      </w:r>
      <w:r w:rsidR="00D62B72" w:rsidRPr="0080490E">
        <w:rPr>
          <w:rFonts w:asciiTheme="minorHAnsi" w:hAnsiTheme="minorHAnsi" w:cstheme="minorHAnsi"/>
          <w:szCs w:val="24"/>
        </w:rPr>
        <w:t>articul</w:t>
      </w:r>
      <w:r w:rsidRPr="0080490E">
        <w:rPr>
          <w:rFonts w:asciiTheme="minorHAnsi" w:hAnsiTheme="minorHAnsi" w:cstheme="minorHAnsi"/>
          <w:szCs w:val="24"/>
        </w:rPr>
        <w:t>arse</w:t>
      </w:r>
      <w:r w:rsidR="00D62B72" w:rsidRPr="0080490E">
        <w:rPr>
          <w:rFonts w:asciiTheme="minorHAnsi" w:hAnsiTheme="minorHAnsi" w:cstheme="minorHAnsi"/>
          <w:szCs w:val="24"/>
        </w:rPr>
        <w:t xml:space="preserve"> mediante un préstamo destinado a la adquisición de un inmueble, el artículo 2 </w:t>
      </w:r>
      <w:r w:rsidRPr="0080490E">
        <w:rPr>
          <w:rFonts w:asciiTheme="minorHAnsi" w:hAnsiTheme="minorHAnsi" w:cstheme="minorHAnsi"/>
          <w:szCs w:val="24"/>
        </w:rPr>
        <w:t xml:space="preserve">de la Ley 5/2019 </w:t>
      </w:r>
      <w:r w:rsidR="00D62B72" w:rsidRPr="0080490E">
        <w:rPr>
          <w:rFonts w:asciiTheme="minorHAnsi" w:hAnsiTheme="minorHAnsi" w:cstheme="minorHAnsi"/>
          <w:szCs w:val="24"/>
        </w:rPr>
        <w:t>limita su aplicación a contratos garantizados con hipoteca o aquellos en los que el prestatario, fiador o garante sea un consumidor.</w:t>
      </w:r>
    </w:p>
    <w:p w14:paraId="77C0C77D" w14:textId="6C03EB6F" w:rsidR="005B4CBD" w:rsidRPr="0080490E" w:rsidRDefault="00CF0F52"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Por otro lado, </w:t>
      </w:r>
      <w:r w:rsidR="00531BEA" w:rsidRPr="0080490E">
        <w:rPr>
          <w:rFonts w:asciiTheme="minorHAnsi" w:hAnsiTheme="minorHAnsi" w:cstheme="minorHAnsi"/>
          <w:smallCaps/>
          <w:szCs w:val="24"/>
        </w:rPr>
        <w:t>Hernández Sa</w:t>
      </w:r>
      <w:r w:rsidR="005D3F5E" w:rsidRPr="0080490E">
        <w:rPr>
          <w:rFonts w:asciiTheme="minorHAnsi" w:hAnsiTheme="minorHAnsi" w:cstheme="minorHAnsi"/>
          <w:smallCaps/>
          <w:szCs w:val="24"/>
        </w:rPr>
        <w:t>i</w:t>
      </w:r>
      <w:r w:rsidR="00531BEA" w:rsidRPr="0080490E">
        <w:rPr>
          <w:rFonts w:asciiTheme="minorHAnsi" w:hAnsiTheme="minorHAnsi" w:cstheme="minorHAnsi"/>
          <w:smallCaps/>
          <w:szCs w:val="24"/>
        </w:rPr>
        <w:t>nz</w:t>
      </w:r>
      <w:r w:rsidR="00531BEA" w:rsidRPr="0080490E">
        <w:rPr>
          <w:rFonts w:asciiTheme="minorHAnsi" w:hAnsiTheme="minorHAnsi" w:cstheme="minorHAnsi"/>
          <w:szCs w:val="24"/>
        </w:rPr>
        <w:t xml:space="preserve"> ha destacado </w:t>
      </w:r>
      <w:r w:rsidR="007B0A16" w:rsidRPr="0080490E">
        <w:rPr>
          <w:rFonts w:asciiTheme="minorHAnsi" w:hAnsiTheme="minorHAnsi" w:cstheme="minorHAnsi"/>
          <w:szCs w:val="24"/>
        </w:rPr>
        <w:t xml:space="preserve">el vacío normativo </w:t>
      </w:r>
      <w:r w:rsidR="005D3F5E" w:rsidRPr="0080490E">
        <w:rPr>
          <w:rFonts w:asciiTheme="minorHAnsi" w:hAnsiTheme="minorHAnsi" w:cstheme="minorHAnsi"/>
          <w:szCs w:val="24"/>
        </w:rPr>
        <w:t xml:space="preserve">de la financiación directa </w:t>
      </w:r>
      <w:r w:rsidRPr="0080490E">
        <w:rPr>
          <w:rFonts w:asciiTheme="minorHAnsi" w:hAnsiTheme="minorHAnsi" w:cstheme="minorHAnsi"/>
          <w:szCs w:val="24"/>
        </w:rPr>
        <w:t>frente</w:t>
      </w:r>
      <w:r w:rsidR="00531BEA" w:rsidRPr="0080490E">
        <w:rPr>
          <w:rFonts w:asciiTheme="minorHAnsi" w:hAnsiTheme="minorHAnsi" w:cstheme="minorHAnsi"/>
          <w:szCs w:val="24"/>
        </w:rPr>
        <w:t xml:space="preserve"> a las </w:t>
      </w:r>
      <w:r w:rsidR="00D92FE1" w:rsidRPr="0080490E">
        <w:rPr>
          <w:rFonts w:asciiTheme="minorHAnsi" w:hAnsiTheme="minorHAnsi" w:cstheme="minorHAnsi"/>
          <w:szCs w:val="24"/>
        </w:rPr>
        <w:t>cautelas</w:t>
      </w:r>
      <w:r w:rsidR="00531BEA" w:rsidRPr="0080490E">
        <w:rPr>
          <w:rFonts w:asciiTheme="minorHAnsi" w:hAnsiTheme="minorHAnsi" w:cstheme="minorHAnsi"/>
          <w:szCs w:val="24"/>
        </w:rPr>
        <w:t xml:space="preserve"> </w:t>
      </w:r>
      <w:r w:rsidR="00F1649E" w:rsidRPr="0080490E">
        <w:rPr>
          <w:rFonts w:asciiTheme="minorHAnsi" w:hAnsiTheme="minorHAnsi" w:cstheme="minorHAnsi"/>
          <w:szCs w:val="24"/>
        </w:rPr>
        <w:t xml:space="preserve">legales </w:t>
      </w:r>
      <w:r w:rsidR="00531BEA" w:rsidRPr="0080490E">
        <w:rPr>
          <w:rFonts w:asciiTheme="minorHAnsi" w:hAnsiTheme="minorHAnsi" w:cstheme="minorHAnsi"/>
          <w:szCs w:val="24"/>
        </w:rPr>
        <w:t xml:space="preserve">que rigen cuando se emplean valores </w:t>
      </w:r>
      <w:r w:rsidR="0033303F" w:rsidRPr="0080490E">
        <w:rPr>
          <w:rFonts w:asciiTheme="minorHAnsi" w:hAnsiTheme="minorHAnsi" w:cstheme="minorHAnsi"/>
          <w:szCs w:val="24"/>
        </w:rPr>
        <w:t>negociable</w:t>
      </w:r>
      <w:r w:rsidR="00531BEA" w:rsidRPr="0080490E">
        <w:rPr>
          <w:rFonts w:asciiTheme="minorHAnsi" w:hAnsiTheme="minorHAnsi" w:cstheme="minorHAnsi"/>
          <w:szCs w:val="24"/>
        </w:rPr>
        <w:t>s para capta</w:t>
      </w:r>
      <w:r w:rsidR="005D3F5E" w:rsidRPr="0080490E">
        <w:rPr>
          <w:rFonts w:asciiTheme="minorHAnsi" w:hAnsiTheme="minorHAnsi" w:cstheme="minorHAnsi"/>
          <w:szCs w:val="24"/>
        </w:rPr>
        <w:t>r</w:t>
      </w:r>
      <w:r w:rsidR="00531BEA" w:rsidRPr="0080490E">
        <w:rPr>
          <w:rFonts w:asciiTheme="minorHAnsi" w:hAnsiTheme="minorHAnsi" w:cstheme="minorHAnsi"/>
          <w:szCs w:val="24"/>
        </w:rPr>
        <w:t xml:space="preserve"> la financiación.</w:t>
      </w:r>
      <w:r w:rsidR="00DF483A" w:rsidRPr="0080490E">
        <w:rPr>
          <w:rFonts w:asciiTheme="minorHAnsi" w:hAnsiTheme="minorHAnsi" w:cstheme="minorHAnsi"/>
          <w:szCs w:val="24"/>
        </w:rPr>
        <w:t xml:space="preserve"> </w:t>
      </w:r>
      <w:r w:rsidR="00AC54D2" w:rsidRPr="0080490E">
        <w:rPr>
          <w:rFonts w:asciiTheme="minorHAnsi" w:hAnsiTheme="minorHAnsi" w:cstheme="minorHAnsi"/>
          <w:szCs w:val="24"/>
        </w:rPr>
        <w:t>Aunque esta autora circunscribe su crítica a los contratos de cuenta en participación, sus argumentos son trasladables a los préstamos participativo</w:t>
      </w:r>
      <w:r w:rsidR="008911C0" w:rsidRPr="0080490E">
        <w:rPr>
          <w:rFonts w:asciiTheme="minorHAnsi" w:hAnsiTheme="minorHAnsi" w:cstheme="minorHAnsi"/>
          <w:szCs w:val="24"/>
        </w:rPr>
        <w:t>s</w:t>
      </w:r>
      <w:r w:rsidR="007B0A16" w:rsidRPr="0080490E">
        <w:rPr>
          <w:rStyle w:val="Refdenotaalpie"/>
          <w:rFonts w:asciiTheme="minorHAnsi" w:hAnsiTheme="minorHAnsi" w:cstheme="minorHAnsi"/>
          <w:szCs w:val="24"/>
        </w:rPr>
        <w:footnoteReference w:id="57"/>
      </w:r>
      <w:r w:rsidR="00AC54D2" w:rsidRPr="0080490E">
        <w:rPr>
          <w:rFonts w:asciiTheme="minorHAnsi" w:hAnsiTheme="minorHAnsi" w:cstheme="minorHAnsi"/>
          <w:szCs w:val="24"/>
        </w:rPr>
        <w:t>.</w:t>
      </w:r>
      <w:r w:rsidR="007B0A16" w:rsidRPr="0080490E">
        <w:rPr>
          <w:rFonts w:asciiTheme="minorHAnsi" w:hAnsiTheme="minorHAnsi" w:cstheme="minorHAnsi"/>
          <w:szCs w:val="24"/>
        </w:rPr>
        <w:t xml:space="preserve"> </w:t>
      </w:r>
      <w:r w:rsidR="00DF483A" w:rsidRPr="0080490E">
        <w:rPr>
          <w:rFonts w:asciiTheme="minorHAnsi" w:hAnsiTheme="minorHAnsi" w:cstheme="minorHAnsi"/>
          <w:szCs w:val="24"/>
        </w:rPr>
        <w:t xml:space="preserve">En concreto plantea que </w:t>
      </w:r>
      <w:r w:rsidR="00D86376" w:rsidRPr="0080490E">
        <w:rPr>
          <w:rFonts w:asciiTheme="minorHAnsi" w:hAnsiTheme="minorHAnsi" w:cstheme="minorHAnsi"/>
          <w:szCs w:val="24"/>
        </w:rPr>
        <w:t xml:space="preserve">el contrato de cuenta en participación permite esquivar la regulación </w:t>
      </w:r>
      <w:r w:rsidR="007B0A16" w:rsidRPr="0080490E">
        <w:rPr>
          <w:rFonts w:asciiTheme="minorHAnsi" w:hAnsiTheme="minorHAnsi" w:cstheme="minorHAnsi"/>
          <w:szCs w:val="24"/>
        </w:rPr>
        <w:t>de</w:t>
      </w:r>
      <w:r w:rsidR="00D86376" w:rsidRPr="0080490E">
        <w:rPr>
          <w:rFonts w:asciiTheme="minorHAnsi" w:hAnsiTheme="minorHAnsi" w:cstheme="minorHAnsi"/>
          <w:szCs w:val="24"/>
        </w:rPr>
        <w:t xml:space="preserve"> la Ley del Mercado de Valores </w:t>
      </w:r>
      <w:r w:rsidR="007B0A16" w:rsidRPr="0080490E">
        <w:rPr>
          <w:rFonts w:asciiTheme="minorHAnsi" w:hAnsiTheme="minorHAnsi" w:cstheme="minorHAnsi"/>
          <w:szCs w:val="24"/>
        </w:rPr>
        <w:t xml:space="preserve">sobre </w:t>
      </w:r>
      <w:r w:rsidR="00D86376" w:rsidRPr="0080490E">
        <w:rPr>
          <w:rFonts w:asciiTheme="minorHAnsi" w:hAnsiTheme="minorHAnsi" w:cstheme="minorHAnsi"/>
          <w:szCs w:val="24"/>
        </w:rPr>
        <w:t>ofertas públicas, así como el control y vigilancia de la CNMV.</w:t>
      </w:r>
      <w:r w:rsidR="005502EF" w:rsidRPr="0080490E">
        <w:rPr>
          <w:rFonts w:asciiTheme="minorHAnsi" w:hAnsiTheme="minorHAnsi" w:cstheme="minorHAnsi"/>
          <w:szCs w:val="24"/>
        </w:rPr>
        <w:t xml:space="preserve"> </w:t>
      </w:r>
      <w:r w:rsidR="00A61F66" w:rsidRPr="0080490E">
        <w:rPr>
          <w:rFonts w:asciiTheme="minorHAnsi" w:hAnsiTheme="minorHAnsi" w:cstheme="minorHAnsi"/>
          <w:szCs w:val="24"/>
        </w:rPr>
        <w:t xml:space="preserve">Si para la captación de fondos el promotor ofreciera acciones, obligaciones u otros valores </w:t>
      </w:r>
      <w:r w:rsidR="0033303F" w:rsidRPr="0080490E">
        <w:rPr>
          <w:rFonts w:asciiTheme="minorHAnsi" w:hAnsiTheme="minorHAnsi" w:cstheme="minorHAnsi"/>
          <w:szCs w:val="24"/>
        </w:rPr>
        <w:t>negociable</w:t>
      </w:r>
      <w:r w:rsidR="00A61F66" w:rsidRPr="0080490E">
        <w:rPr>
          <w:rFonts w:asciiTheme="minorHAnsi" w:hAnsiTheme="minorHAnsi" w:cstheme="minorHAnsi"/>
          <w:szCs w:val="24"/>
        </w:rPr>
        <w:t xml:space="preserve">s, debería cumplir </w:t>
      </w:r>
      <w:r w:rsidR="00DE7E52" w:rsidRPr="0080490E">
        <w:rPr>
          <w:rFonts w:asciiTheme="minorHAnsi" w:hAnsiTheme="minorHAnsi" w:cstheme="minorHAnsi"/>
          <w:szCs w:val="24"/>
        </w:rPr>
        <w:t xml:space="preserve">con </w:t>
      </w:r>
      <w:r w:rsidR="00A61F66" w:rsidRPr="0080490E">
        <w:rPr>
          <w:rFonts w:asciiTheme="minorHAnsi" w:hAnsiTheme="minorHAnsi" w:cstheme="minorHAnsi"/>
          <w:szCs w:val="24"/>
        </w:rPr>
        <w:t>las obligaciones de aportación, registro y publicación de un folleto informativo</w:t>
      </w:r>
      <w:r w:rsidR="006022FC" w:rsidRPr="0080490E">
        <w:rPr>
          <w:rFonts w:asciiTheme="minorHAnsi" w:hAnsiTheme="minorHAnsi" w:cstheme="minorHAnsi"/>
          <w:szCs w:val="24"/>
        </w:rPr>
        <w:t xml:space="preserve"> o, en su caso, </w:t>
      </w:r>
      <w:r w:rsidR="00A61F66" w:rsidRPr="0080490E">
        <w:rPr>
          <w:rFonts w:asciiTheme="minorHAnsi" w:hAnsiTheme="minorHAnsi" w:cstheme="minorHAnsi"/>
          <w:szCs w:val="24"/>
        </w:rPr>
        <w:t>la intervención de una empresa de servicios de inversión.</w:t>
      </w:r>
      <w:r w:rsidR="007B0A16" w:rsidRPr="0080490E">
        <w:rPr>
          <w:rFonts w:asciiTheme="minorHAnsi" w:hAnsiTheme="minorHAnsi" w:cstheme="minorHAnsi"/>
          <w:szCs w:val="24"/>
        </w:rPr>
        <w:t xml:space="preserve"> Sin embargo, e</w:t>
      </w:r>
      <w:r w:rsidR="005B4CBD" w:rsidRPr="0080490E">
        <w:rPr>
          <w:rFonts w:asciiTheme="minorHAnsi" w:hAnsiTheme="minorHAnsi" w:cstheme="minorHAnsi"/>
          <w:szCs w:val="24"/>
        </w:rPr>
        <w:t xml:space="preserve">stas obligaciones pueden eludirse si la financiación no se capta mediante valores </w:t>
      </w:r>
      <w:r w:rsidR="0033303F" w:rsidRPr="0080490E">
        <w:rPr>
          <w:rFonts w:asciiTheme="minorHAnsi" w:hAnsiTheme="minorHAnsi" w:cstheme="minorHAnsi"/>
          <w:szCs w:val="24"/>
        </w:rPr>
        <w:t>negociable</w:t>
      </w:r>
      <w:r w:rsidR="005B4CBD" w:rsidRPr="0080490E">
        <w:rPr>
          <w:rFonts w:asciiTheme="minorHAnsi" w:hAnsiTheme="minorHAnsi" w:cstheme="minorHAnsi"/>
          <w:szCs w:val="24"/>
        </w:rPr>
        <w:t xml:space="preserve">s. Por eso, se recurre al contrato de cuenta en participación, ya que la oferta de celebración de este contrato no constituye una suscripción de valores, sino una simple oferta contractual. Además, la </w:t>
      </w:r>
      <w:r w:rsidR="005B4CBD" w:rsidRPr="0080490E">
        <w:rPr>
          <w:rFonts w:asciiTheme="minorHAnsi" w:hAnsiTheme="minorHAnsi" w:cstheme="minorHAnsi"/>
          <w:szCs w:val="24"/>
        </w:rPr>
        <w:lastRenderedPageBreak/>
        <w:t>posición contractual del partícipe no puede incorporarse a un título</w:t>
      </w:r>
      <w:r w:rsidR="00416F5E" w:rsidRPr="0080490E">
        <w:rPr>
          <w:rFonts w:asciiTheme="minorHAnsi" w:hAnsiTheme="minorHAnsi" w:cstheme="minorHAnsi"/>
          <w:szCs w:val="24"/>
        </w:rPr>
        <w:t xml:space="preserve"> </w:t>
      </w:r>
      <w:r w:rsidR="005B4CBD" w:rsidRPr="0080490E">
        <w:rPr>
          <w:rFonts w:asciiTheme="minorHAnsi" w:hAnsiTheme="minorHAnsi" w:cstheme="minorHAnsi"/>
          <w:szCs w:val="24"/>
        </w:rPr>
        <w:t xml:space="preserve">valor ni constituir un valor </w:t>
      </w:r>
      <w:r w:rsidR="0033303F" w:rsidRPr="0080490E">
        <w:rPr>
          <w:rFonts w:asciiTheme="minorHAnsi" w:hAnsiTheme="minorHAnsi" w:cstheme="minorHAnsi"/>
          <w:szCs w:val="24"/>
        </w:rPr>
        <w:t>negociable</w:t>
      </w:r>
      <w:r w:rsidR="005B4CBD" w:rsidRPr="0080490E">
        <w:rPr>
          <w:rFonts w:asciiTheme="minorHAnsi" w:hAnsiTheme="minorHAnsi" w:cstheme="minorHAnsi"/>
          <w:szCs w:val="24"/>
        </w:rPr>
        <w:t xml:space="preserve"> que permita su circulación como un derecho o posición autónoma</w:t>
      </w:r>
      <w:r w:rsidR="005B4CBD" w:rsidRPr="0080490E">
        <w:rPr>
          <w:rStyle w:val="Refdenotaalpie"/>
          <w:rFonts w:asciiTheme="minorHAnsi" w:hAnsiTheme="minorHAnsi" w:cstheme="minorHAnsi"/>
          <w:szCs w:val="24"/>
        </w:rPr>
        <w:footnoteReference w:id="58"/>
      </w:r>
      <w:r w:rsidR="005B4CBD" w:rsidRPr="0080490E">
        <w:rPr>
          <w:rFonts w:asciiTheme="minorHAnsi" w:hAnsiTheme="minorHAnsi" w:cstheme="minorHAnsi"/>
          <w:szCs w:val="24"/>
        </w:rPr>
        <w:t>.</w:t>
      </w:r>
    </w:p>
    <w:p w14:paraId="6904209A" w14:textId="77777777" w:rsidR="006022FC" w:rsidRPr="0080490E" w:rsidRDefault="00DE0CF6"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Sin perjuicio de la correcta valoración de</w:t>
      </w:r>
      <w:r w:rsidR="002B0FE9" w:rsidRPr="0080490E">
        <w:rPr>
          <w:rFonts w:asciiTheme="minorHAnsi" w:hAnsiTheme="minorHAnsi" w:cstheme="minorHAnsi"/>
          <w:szCs w:val="24"/>
        </w:rPr>
        <w:t xml:space="preserve">l </w:t>
      </w:r>
      <w:r w:rsidRPr="0080490E">
        <w:rPr>
          <w:rFonts w:asciiTheme="minorHAnsi" w:hAnsiTheme="minorHAnsi" w:cstheme="minorHAnsi"/>
          <w:szCs w:val="24"/>
        </w:rPr>
        <w:t xml:space="preserve">enfoque </w:t>
      </w:r>
      <w:r w:rsidR="002B0FE9" w:rsidRPr="0080490E">
        <w:rPr>
          <w:rFonts w:asciiTheme="minorHAnsi" w:hAnsiTheme="minorHAnsi" w:cstheme="minorHAnsi"/>
          <w:szCs w:val="24"/>
        </w:rPr>
        <w:t xml:space="preserve">de </w:t>
      </w:r>
      <w:r w:rsidR="002B0FE9" w:rsidRPr="0080490E">
        <w:rPr>
          <w:rFonts w:asciiTheme="minorHAnsi" w:hAnsiTheme="minorHAnsi" w:cstheme="minorHAnsi"/>
          <w:smallCaps/>
          <w:szCs w:val="24"/>
        </w:rPr>
        <w:t>Hernández Sainz</w:t>
      </w:r>
      <w:r w:rsidR="002B0FE9" w:rsidRPr="0080490E">
        <w:rPr>
          <w:rFonts w:asciiTheme="minorHAnsi" w:hAnsiTheme="minorHAnsi" w:cstheme="minorHAnsi"/>
          <w:szCs w:val="24"/>
        </w:rPr>
        <w:t xml:space="preserve"> </w:t>
      </w:r>
      <w:r w:rsidRPr="0080490E">
        <w:rPr>
          <w:rFonts w:asciiTheme="minorHAnsi" w:hAnsiTheme="minorHAnsi" w:cstheme="minorHAnsi"/>
          <w:szCs w:val="24"/>
        </w:rPr>
        <w:t xml:space="preserve">es preciso complementarlo con la posición </w:t>
      </w:r>
      <w:r w:rsidR="00761D50" w:rsidRPr="0080490E">
        <w:rPr>
          <w:rFonts w:asciiTheme="minorHAnsi" w:hAnsiTheme="minorHAnsi" w:cstheme="minorHAnsi"/>
          <w:szCs w:val="24"/>
        </w:rPr>
        <w:t>de</w:t>
      </w:r>
      <w:r w:rsidRPr="0080490E">
        <w:rPr>
          <w:rFonts w:asciiTheme="minorHAnsi" w:hAnsiTheme="minorHAnsi" w:cstheme="minorHAnsi"/>
          <w:szCs w:val="24"/>
        </w:rPr>
        <w:t xml:space="preserve"> la CNMV en torno a</w:t>
      </w:r>
      <w:r w:rsidR="00AA6629" w:rsidRPr="0080490E">
        <w:rPr>
          <w:rFonts w:asciiTheme="minorHAnsi" w:hAnsiTheme="minorHAnsi" w:cstheme="minorHAnsi"/>
          <w:szCs w:val="24"/>
        </w:rPr>
        <w:t xml:space="preserve"> </w:t>
      </w:r>
      <w:r w:rsidRPr="0080490E">
        <w:rPr>
          <w:rFonts w:asciiTheme="minorHAnsi" w:hAnsiTheme="minorHAnsi" w:cstheme="minorHAnsi"/>
          <w:szCs w:val="24"/>
        </w:rPr>
        <w:t>l</w:t>
      </w:r>
      <w:r w:rsidR="00AA6629" w:rsidRPr="0080490E">
        <w:rPr>
          <w:rFonts w:asciiTheme="minorHAnsi" w:hAnsiTheme="minorHAnsi" w:cstheme="minorHAnsi"/>
          <w:szCs w:val="24"/>
        </w:rPr>
        <w:t>a</w:t>
      </w:r>
      <w:r w:rsidRPr="0080490E">
        <w:rPr>
          <w:rFonts w:asciiTheme="minorHAnsi" w:hAnsiTheme="minorHAnsi" w:cstheme="minorHAnsi"/>
          <w:szCs w:val="24"/>
        </w:rPr>
        <w:t xml:space="preserve"> naturaleza de la inversión tokenizada</w:t>
      </w:r>
      <w:r w:rsidR="006022FC" w:rsidRPr="0080490E">
        <w:rPr>
          <w:rFonts w:asciiTheme="minorHAnsi" w:hAnsiTheme="minorHAnsi" w:cstheme="minorHAnsi"/>
          <w:szCs w:val="24"/>
        </w:rPr>
        <w:t xml:space="preserve"> y la reforma de la legislación sobre el mercado de valores</w:t>
      </w:r>
      <w:r w:rsidRPr="0080490E">
        <w:rPr>
          <w:rFonts w:asciiTheme="minorHAnsi" w:hAnsiTheme="minorHAnsi" w:cstheme="minorHAnsi"/>
          <w:szCs w:val="24"/>
        </w:rPr>
        <w:t>.</w:t>
      </w:r>
    </w:p>
    <w:p w14:paraId="41BD0D55" w14:textId="796ED179" w:rsidR="00B44FCB" w:rsidRPr="0080490E" w:rsidRDefault="000948E4"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Con el objetivo de abordar la falta de regulación y supervisión de la inversión tokenizada</w:t>
      </w:r>
      <w:r w:rsidR="004A2AA6" w:rsidRPr="0080490E">
        <w:rPr>
          <w:rFonts w:asciiTheme="minorHAnsi" w:hAnsiTheme="minorHAnsi" w:cstheme="minorHAnsi"/>
          <w:szCs w:val="24"/>
        </w:rPr>
        <w:t xml:space="preserve">, </w:t>
      </w:r>
      <w:r w:rsidR="00E41724" w:rsidRPr="0080490E">
        <w:rPr>
          <w:rFonts w:asciiTheme="minorHAnsi" w:hAnsiTheme="minorHAnsi" w:cstheme="minorHAnsi"/>
          <w:szCs w:val="24"/>
        </w:rPr>
        <w:t xml:space="preserve">la CNMV </w:t>
      </w:r>
      <w:r w:rsidRPr="0080490E">
        <w:rPr>
          <w:rFonts w:asciiTheme="minorHAnsi" w:hAnsiTheme="minorHAnsi" w:cstheme="minorHAnsi"/>
          <w:szCs w:val="24"/>
        </w:rPr>
        <w:t>publicó</w:t>
      </w:r>
      <w:r w:rsidR="004A2AA6" w:rsidRPr="0080490E">
        <w:rPr>
          <w:rFonts w:asciiTheme="minorHAnsi" w:hAnsiTheme="minorHAnsi" w:cstheme="minorHAnsi"/>
          <w:szCs w:val="24"/>
        </w:rPr>
        <w:t xml:space="preserve"> </w:t>
      </w:r>
      <w:r w:rsidR="00E41724" w:rsidRPr="0080490E">
        <w:rPr>
          <w:rFonts w:asciiTheme="minorHAnsi" w:hAnsiTheme="minorHAnsi" w:cstheme="minorHAnsi"/>
          <w:szCs w:val="24"/>
        </w:rPr>
        <w:t xml:space="preserve">una serie de notas en 2017 y 2018 </w:t>
      </w:r>
      <w:r w:rsidR="002439D8" w:rsidRPr="0080490E">
        <w:rPr>
          <w:rFonts w:asciiTheme="minorHAnsi" w:hAnsiTheme="minorHAnsi" w:cstheme="minorHAnsi"/>
          <w:szCs w:val="24"/>
        </w:rPr>
        <w:t xml:space="preserve">—antes, por tanto, de la reforma de la legislación del mercado de valores de 2023— </w:t>
      </w:r>
      <w:r w:rsidR="00E41724" w:rsidRPr="0080490E">
        <w:rPr>
          <w:rFonts w:asciiTheme="minorHAnsi" w:hAnsiTheme="minorHAnsi" w:cstheme="minorHAnsi"/>
          <w:szCs w:val="24"/>
        </w:rPr>
        <w:t xml:space="preserve">en las que preconiza una interpretación extensiva de los valores </w:t>
      </w:r>
      <w:r w:rsidR="0033303F" w:rsidRPr="0080490E">
        <w:rPr>
          <w:rFonts w:asciiTheme="minorHAnsi" w:hAnsiTheme="minorHAnsi" w:cstheme="minorHAnsi"/>
          <w:szCs w:val="24"/>
        </w:rPr>
        <w:t>negociable</w:t>
      </w:r>
      <w:r w:rsidR="00E41724" w:rsidRPr="0080490E">
        <w:rPr>
          <w:rFonts w:asciiTheme="minorHAnsi" w:hAnsiTheme="minorHAnsi" w:cstheme="minorHAnsi"/>
          <w:szCs w:val="24"/>
        </w:rPr>
        <w:t>s</w:t>
      </w:r>
      <w:r w:rsidR="004A2AA6" w:rsidRPr="0080490E">
        <w:rPr>
          <w:rFonts w:asciiTheme="minorHAnsi" w:hAnsiTheme="minorHAnsi" w:cstheme="minorHAnsi"/>
          <w:szCs w:val="24"/>
        </w:rPr>
        <w:t xml:space="preserve"> para incluir los </w:t>
      </w:r>
      <w:proofErr w:type="spellStart"/>
      <w:r w:rsidR="004A2AA6" w:rsidRPr="0080490E">
        <w:rPr>
          <w:rFonts w:asciiTheme="minorHAnsi" w:hAnsiTheme="minorHAnsi" w:cstheme="minorHAnsi"/>
          <w:i/>
          <w:iCs/>
          <w:szCs w:val="24"/>
        </w:rPr>
        <w:t>security</w:t>
      </w:r>
      <w:proofErr w:type="spellEnd"/>
      <w:r w:rsidR="004A2AA6" w:rsidRPr="0080490E">
        <w:rPr>
          <w:rFonts w:asciiTheme="minorHAnsi" w:hAnsiTheme="minorHAnsi" w:cstheme="minorHAnsi"/>
          <w:i/>
          <w:iCs/>
          <w:szCs w:val="24"/>
        </w:rPr>
        <w:t xml:space="preserve"> tokens</w:t>
      </w:r>
      <w:r w:rsidR="00FE0A2C" w:rsidRPr="0080490E">
        <w:rPr>
          <w:rFonts w:asciiTheme="minorHAnsi" w:hAnsiTheme="minorHAnsi" w:cstheme="minorHAnsi"/>
          <w:szCs w:val="24"/>
        </w:rPr>
        <w:t>.</w:t>
      </w:r>
      <w:r w:rsidR="00284AA9" w:rsidRPr="0080490E">
        <w:rPr>
          <w:rFonts w:asciiTheme="minorHAnsi" w:hAnsiTheme="minorHAnsi" w:cstheme="minorHAnsi"/>
          <w:szCs w:val="24"/>
        </w:rPr>
        <w:t xml:space="preserve"> </w:t>
      </w:r>
      <w:r w:rsidR="00DB39BF" w:rsidRPr="0080490E">
        <w:rPr>
          <w:rFonts w:asciiTheme="minorHAnsi" w:hAnsiTheme="minorHAnsi" w:cstheme="minorHAnsi"/>
          <w:szCs w:val="24"/>
        </w:rPr>
        <w:t xml:space="preserve">En concreto, la CNMV señaló «que buena parte de las operaciones articuladas como </w:t>
      </w:r>
      <w:proofErr w:type="spellStart"/>
      <w:r w:rsidR="00DB39BF" w:rsidRPr="0080490E">
        <w:rPr>
          <w:rFonts w:asciiTheme="minorHAnsi" w:hAnsiTheme="minorHAnsi" w:cstheme="minorHAnsi"/>
          <w:szCs w:val="24"/>
        </w:rPr>
        <w:t>ICOs</w:t>
      </w:r>
      <w:proofErr w:type="spellEnd"/>
      <w:r w:rsidR="00DB39BF" w:rsidRPr="0080490E">
        <w:rPr>
          <w:rFonts w:asciiTheme="minorHAnsi" w:hAnsiTheme="minorHAnsi" w:cstheme="minorHAnsi"/>
          <w:szCs w:val="24"/>
        </w:rPr>
        <w:t xml:space="preserve"> deberían ser tratadas como emisiones u ofertas públicas de valores negociables. Ello con base, entre otras razones, en el amplio concepto de valor negociable contenido en el artículo 2.1 del TRLMV»</w:t>
      </w:r>
      <w:r w:rsidR="00DB39BF" w:rsidRPr="0080490E">
        <w:rPr>
          <w:rFonts w:asciiTheme="minorHAnsi" w:hAnsiTheme="minorHAnsi" w:cstheme="minorHAnsi"/>
          <w:szCs w:val="24"/>
          <w:vertAlign w:val="superscript"/>
        </w:rPr>
        <w:footnoteReference w:id="59"/>
      </w:r>
      <w:r w:rsidR="00DB39BF" w:rsidRPr="0080490E">
        <w:rPr>
          <w:rFonts w:asciiTheme="minorHAnsi" w:hAnsiTheme="minorHAnsi" w:cstheme="minorHAnsi"/>
          <w:szCs w:val="24"/>
        </w:rPr>
        <w:t>.</w:t>
      </w:r>
      <w:r w:rsidRPr="0080490E">
        <w:rPr>
          <w:rFonts w:asciiTheme="minorHAnsi" w:hAnsiTheme="minorHAnsi" w:cstheme="minorHAnsi"/>
          <w:szCs w:val="24"/>
        </w:rPr>
        <w:t xml:space="preserve"> </w:t>
      </w:r>
      <w:r w:rsidR="00144E5A" w:rsidRPr="0080490E">
        <w:rPr>
          <w:rFonts w:asciiTheme="minorHAnsi" w:hAnsiTheme="minorHAnsi" w:cstheme="minorHAnsi"/>
          <w:szCs w:val="24"/>
        </w:rPr>
        <w:t>A la vista de ello</w:t>
      </w:r>
      <w:r w:rsidR="00B44FCB" w:rsidRPr="0080490E">
        <w:rPr>
          <w:rFonts w:asciiTheme="minorHAnsi" w:hAnsiTheme="minorHAnsi" w:cstheme="minorHAnsi"/>
          <w:szCs w:val="24"/>
        </w:rPr>
        <w:t>, la CNMV trazó una doble analogía.</w:t>
      </w:r>
      <w:r w:rsidR="00144E5A" w:rsidRPr="0080490E">
        <w:rPr>
          <w:rFonts w:asciiTheme="minorHAnsi" w:hAnsiTheme="minorHAnsi" w:cstheme="minorHAnsi"/>
          <w:szCs w:val="24"/>
        </w:rPr>
        <w:t xml:space="preserve"> </w:t>
      </w:r>
      <w:r w:rsidR="00284AA9" w:rsidRPr="0080490E">
        <w:rPr>
          <w:rFonts w:asciiTheme="minorHAnsi" w:hAnsiTheme="minorHAnsi" w:cstheme="minorHAnsi"/>
          <w:szCs w:val="24"/>
        </w:rPr>
        <w:t xml:space="preserve">Por un lado, estableció que la venta de tokens a través de una blockchain puede constituir una oferta pública de valores. Por otro, determinó que los </w:t>
      </w:r>
      <w:proofErr w:type="spellStart"/>
      <w:r w:rsidR="00284AA9" w:rsidRPr="0080490E">
        <w:rPr>
          <w:rFonts w:asciiTheme="minorHAnsi" w:hAnsiTheme="minorHAnsi" w:cstheme="minorHAnsi"/>
          <w:i/>
          <w:iCs/>
          <w:szCs w:val="24"/>
        </w:rPr>
        <w:t>security</w:t>
      </w:r>
      <w:proofErr w:type="spellEnd"/>
      <w:r w:rsidR="00284AA9" w:rsidRPr="0080490E">
        <w:rPr>
          <w:rFonts w:asciiTheme="minorHAnsi" w:hAnsiTheme="minorHAnsi" w:cstheme="minorHAnsi"/>
          <w:i/>
          <w:iCs/>
          <w:szCs w:val="24"/>
        </w:rPr>
        <w:t xml:space="preserve"> tokens</w:t>
      </w:r>
      <w:r w:rsidR="00284AA9" w:rsidRPr="0080490E">
        <w:rPr>
          <w:rFonts w:asciiTheme="minorHAnsi" w:hAnsiTheme="minorHAnsi" w:cstheme="minorHAnsi"/>
          <w:szCs w:val="24"/>
        </w:rPr>
        <w:t xml:space="preserve"> pueden considera</w:t>
      </w:r>
      <w:r w:rsidR="007733C0" w:rsidRPr="0080490E">
        <w:rPr>
          <w:rFonts w:asciiTheme="minorHAnsi" w:hAnsiTheme="minorHAnsi" w:cstheme="minorHAnsi"/>
          <w:szCs w:val="24"/>
        </w:rPr>
        <w:t>rse</w:t>
      </w:r>
      <w:r w:rsidR="00F1649E" w:rsidRPr="0080490E">
        <w:rPr>
          <w:rFonts w:asciiTheme="minorHAnsi" w:hAnsiTheme="minorHAnsi" w:cstheme="minorHAnsi"/>
          <w:szCs w:val="24"/>
        </w:rPr>
        <w:t>, en sí mismos,</w:t>
      </w:r>
      <w:r w:rsidR="00284AA9" w:rsidRPr="0080490E">
        <w:rPr>
          <w:rFonts w:asciiTheme="minorHAnsi" w:hAnsiTheme="minorHAnsi" w:cstheme="minorHAnsi"/>
          <w:szCs w:val="24"/>
        </w:rPr>
        <w:t xml:space="preserve"> valores negociables.</w:t>
      </w:r>
    </w:p>
    <w:p w14:paraId="5E2BB231" w14:textId="06917CE1" w:rsidR="00324B53" w:rsidRPr="0080490E" w:rsidRDefault="00357FA2"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E</w:t>
      </w:r>
      <w:r w:rsidR="00974342" w:rsidRPr="0080490E">
        <w:rPr>
          <w:rFonts w:asciiTheme="minorHAnsi" w:hAnsiTheme="minorHAnsi" w:cstheme="minorHAnsi"/>
          <w:szCs w:val="24"/>
        </w:rPr>
        <w:t>n torno a la primera analogía, e</w:t>
      </w:r>
      <w:r w:rsidRPr="0080490E">
        <w:rPr>
          <w:rFonts w:asciiTheme="minorHAnsi" w:hAnsiTheme="minorHAnsi" w:cstheme="minorHAnsi"/>
          <w:szCs w:val="24"/>
        </w:rPr>
        <w:t xml:space="preserve">l Reglamento 2017/1129 del Parlamento Europeo y del Consejo de 14 de junio de 2017 sobre el folleto recoge, en su artículo 2, la definición </w:t>
      </w:r>
      <w:r w:rsidR="008E74D0" w:rsidRPr="0080490E">
        <w:rPr>
          <w:rFonts w:asciiTheme="minorHAnsi" w:hAnsiTheme="minorHAnsi" w:cstheme="minorHAnsi"/>
          <w:szCs w:val="24"/>
        </w:rPr>
        <w:t xml:space="preserve">legal </w:t>
      </w:r>
      <w:r w:rsidRPr="0080490E">
        <w:rPr>
          <w:rFonts w:asciiTheme="minorHAnsi" w:hAnsiTheme="minorHAnsi" w:cstheme="minorHAnsi"/>
          <w:szCs w:val="24"/>
        </w:rPr>
        <w:t xml:space="preserve">de </w:t>
      </w:r>
      <w:r w:rsidR="00324B53" w:rsidRPr="0080490E">
        <w:rPr>
          <w:rFonts w:asciiTheme="minorHAnsi" w:hAnsiTheme="minorHAnsi" w:cstheme="minorHAnsi"/>
          <w:szCs w:val="24"/>
        </w:rPr>
        <w:t>oferta pública de valores</w:t>
      </w:r>
      <w:r w:rsidRPr="0080490E">
        <w:rPr>
          <w:rFonts w:asciiTheme="minorHAnsi" w:hAnsiTheme="minorHAnsi" w:cstheme="minorHAnsi"/>
          <w:szCs w:val="24"/>
        </w:rPr>
        <w:t>. Según dicho precepto se trata de</w:t>
      </w:r>
      <w:r w:rsidR="00324B53" w:rsidRPr="0080490E">
        <w:rPr>
          <w:rFonts w:asciiTheme="minorHAnsi" w:hAnsiTheme="minorHAnsi" w:cstheme="minorHAnsi"/>
          <w:szCs w:val="24"/>
        </w:rPr>
        <w:t xml:space="preserve"> </w:t>
      </w:r>
      <w:r w:rsidRPr="0080490E">
        <w:rPr>
          <w:rFonts w:asciiTheme="minorHAnsi" w:hAnsiTheme="minorHAnsi" w:cstheme="minorHAnsi"/>
          <w:szCs w:val="24"/>
        </w:rPr>
        <w:t>«</w:t>
      </w:r>
      <w:r w:rsidR="00324B53" w:rsidRPr="0080490E">
        <w:rPr>
          <w:rFonts w:asciiTheme="minorHAnsi" w:hAnsiTheme="minorHAnsi" w:cstheme="minorHAnsi"/>
          <w:szCs w:val="24"/>
        </w:rPr>
        <w:t>una comunicación a personas, de cualquier forma y por cualquier medio, que presenta información suficiente sobre los términos de la oferta y los valores que se ofertan de modo que permita a un inversor decidir la adquisición o suscripción de dichos valores</w:t>
      </w:r>
      <w:r w:rsidRPr="0080490E">
        <w:rPr>
          <w:rFonts w:asciiTheme="minorHAnsi" w:hAnsiTheme="minorHAnsi" w:cstheme="minorHAnsi"/>
          <w:szCs w:val="24"/>
        </w:rPr>
        <w:t>».</w:t>
      </w:r>
      <w:bookmarkStart w:id="39" w:name="_Hlk172478519"/>
      <w:r w:rsidR="00F9794C" w:rsidRPr="0080490E">
        <w:rPr>
          <w:rFonts w:asciiTheme="minorHAnsi" w:hAnsiTheme="minorHAnsi" w:cstheme="minorHAnsi"/>
          <w:szCs w:val="24"/>
        </w:rPr>
        <w:t xml:space="preserve"> El empleo de plataformas en línea accesibles al público, a través de las cuales el promotor oferta los tokens, así lo sugiere</w:t>
      </w:r>
      <w:r w:rsidR="00974342" w:rsidRPr="0080490E">
        <w:rPr>
          <w:rFonts w:asciiTheme="minorHAnsi" w:hAnsiTheme="minorHAnsi" w:cstheme="minorHAnsi"/>
          <w:szCs w:val="24"/>
        </w:rPr>
        <w:t>.</w:t>
      </w:r>
      <w:bookmarkEnd w:id="39"/>
    </w:p>
    <w:p w14:paraId="6124110E" w14:textId="6FBF54FE" w:rsidR="003139AC" w:rsidRPr="0080490E" w:rsidRDefault="0033303F"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Conforme a la segunda, la CNMV interpreta</w:t>
      </w:r>
      <w:r w:rsidR="00F45ADB" w:rsidRPr="0080490E">
        <w:rPr>
          <w:rFonts w:asciiTheme="minorHAnsi" w:hAnsiTheme="minorHAnsi" w:cstheme="minorHAnsi"/>
          <w:szCs w:val="24"/>
        </w:rPr>
        <w:t xml:space="preserve"> de forma </w:t>
      </w:r>
      <w:r w:rsidRPr="0080490E">
        <w:rPr>
          <w:rFonts w:asciiTheme="minorHAnsi" w:hAnsiTheme="minorHAnsi" w:cstheme="minorHAnsi"/>
          <w:szCs w:val="24"/>
        </w:rPr>
        <w:t xml:space="preserve">extensiva el concepto de valor negociable para incluir los </w:t>
      </w:r>
      <w:proofErr w:type="spellStart"/>
      <w:r w:rsidRPr="0080490E">
        <w:rPr>
          <w:rFonts w:asciiTheme="minorHAnsi" w:hAnsiTheme="minorHAnsi" w:cstheme="minorHAnsi"/>
          <w:i/>
          <w:iCs/>
          <w:szCs w:val="24"/>
        </w:rPr>
        <w:t>security</w:t>
      </w:r>
      <w:proofErr w:type="spellEnd"/>
      <w:r w:rsidRPr="0080490E">
        <w:rPr>
          <w:rFonts w:asciiTheme="minorHAnsi" w:hAnsiTheme="minorHAnsi" w:cstheme="minorHAnsi"/>
          <w:i/>
          <w:iCs/>
          <w:szCs w:val="24"/>
        </w:rPr>
        <w:t xml:space="preserve"> tokens</w:t>
      </w:r>
      <w:r w:rsidRPr="0080490E">
        <w:rPr>
          <w:rFonts w:asciiTheme="minorHAnsi" w:hAnsiTheme="minorHAnsi" w:cstheme="minorHAnsi"/>
          <w:szCs w:val="24"/>
        </w:rPr>
        <w:t>. Estos se consider</w:t>
      </w:r>
      <w:r w:rsidR="00002E3B" w:rsidRPr="0080490E">
        <w:rPr>
          <w:rFonts w:asciiTheme="minorHAnsi" w:hAnsiTheme="minorHAnsi" w:cstheme="minorHAnsi"/>
          <w:szCs w:val="24"/>
        </w:rPr>
        <w:t>a</w:t>
      </w:r>
      <w:r w:rsidRPr="0080490E">
        <w:rPr>
          <w:rFonts w:asciiTheme="minorHAnsi" w:hAnsiTheme="minorHAnsi" w:cstheme="minorHAnsi"/>
          <w:szCs w:val="24"/>
        </w:rPr>
        <w:t xml:space="preserve">n, por tanto, representaciones digitales de un derecho de contenido patrimonial, susceptibles de tráfico generalizado e impersonal en un mercado financiero que, en este caso, sería una cadena de bloques. </w:t>
      </w:r>
      <w:r w:rsidR="003139AC" w:rsidRPr="0080490E">
        <w:rPr>
          <w:rFonts w:asciiTheme="minorHAnsi" w:hAnsiTheme="minorHAnsi" w:cstheme="minorHAnsi"/>
          <w:szCs w:val="24"/>
        </w:rPr>
        <w:t xml:space="preserve">Esta </w:t>
      </w:r>
      <w:r w:rsidR="00F45ADB" w:rsidRPr="0080490E">
        <w:rPr>
          <w:rFonts w:asciiTheme="minorHAnsi" w:hAnsiTheme="minorHAnsi" w:cstheme="minorHAnsi"/>
          <w:szCs w:val="24"/>
        </w:rPr>
        <w:t>analogía</w:t>
      </w:r>
      <w:r w:rsidR="003139AC" w:rsidRPr="0080490E">
        <w:rPr>
          <w:rFonts w:asciiTheme="minorHAnsi" w:hAnsiTheme="minorHAnsi" w:cstheme="minorHAnsi"/>
          <w:szCs w:val="24"/>
        </w:rPr>
        <w:t xml:space="preserve"> se justifica </w:t>
      </w:r>
      <w:r w:rsidR="00DB39BF" w:rsidRPr="0080490E">
        <w:rPr>
          <w:rFonts w:asciiTheme="minorHAnsi" w:hAnsiTheme="minorHAnsi" w:cstheme="minorHAnsi"/>
          <w:szCs w:val="24"/>
        </w:rPr>
        <w:t>por la atribución a los</w:t>
      </w:r>
      <w:r w:rsidR="003139AC" w:rsidRPr="0080490E">
        <w:rPr>
          <w:rFonts w:asciiTheme="minorHAnsi" w:hAnsiTheme="minorHAnsi" w:cstheme="minorHAnsi"/>
          <w:szCs w:val="24"/>
        </w:rPr>
        <w:t xml:space="preserve"> titulares</w:t>
      </w:r>
      <w:r w:rsidR="00DB39BF" w:rsidRPr="0080490E">
        <w:rPr>
          <w:rFonts w:asciiTheme="minorHAnsi" w:hAnsiTheme="minorHAnsi" w:cstheme="minorHAnsi"/>
          <w:szCs w:val="24"/>
        </w:rPr>
        <w:t xml:space="preserve"> de</w:t>
      </w:r>
      <w:r w:rsidR="007E7ED7" w:rsidRPr="0080490E">
        <w:rPr>
          <w:rFonts w:asciiTheme="minorHAnsi" w:hAnsiTheme="minorHAnsi" w:cstheme="minorHAnsi"/>
          <w:szCs w:val="24"/>
        </w:rPr>
        <w:t xml:space="preserve"> los tokens de</w:t>
      </w:r>
      <w:r w:rsidR="00DB39BF" w:rsidRPr="0080490E">
        <w:rPr>
          <w:rFonts w:asciiTheme="minorHAnsi" w:hAnsiTheme="minorHAnsi" w:cstheme="minorHAnsi"/>
          <w:szCs w:val="24"/>
        </w:rPr>
        <w:t xml:space="preserve"> «derechos o expectativas de participación en la potencial revalorización o rentabilidad de negocios o proyectos o, en general, que presenten u otorguen derechos equivalentes o parecidos a los propios de las acciones, obligaciones u otros instrumentos financieros incluidos en el artículo 2 del TRLMV»</w:t>
      </w:r>
      <w:r w:rsidR="00DB39BF" w:rsidRPr="0080490E">
        <w:rPr>
          <w:rFonts w:asciiTheme="minorHAnsi" w:hAnsiTheme="minorHAnsi" w:cstheme="minorHAnsi"/>
          <w:szCs w:val="24"/>
          <w:vertAlign w:val="superscript"/>
        </w:rPr>
        <w:footnoteReference w:id="60"/>
      </w:r>
      <w:r w:rsidR="00DB39BF" w:rsidRPr="0080490E">
        <w:rPr>
          <w:rFonts w:asciiTheme="minorHAnsi" w:hAnsiTheme="minorHAnsi" w:cstheme="minorHAnsi"/>
          <w:szCs w:val="24"/>
        </w:rPr>
        <w:t>.</w:t>
      </w:r>
    </w:p>
    <w:p w14:paraId="415A92DF" w14:textId="0290B684" w:rsidR="00072307" w:rsidRPr="0080490E" w:rsidRDefault="00757D46"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lastRenderedPageBreak/>
        <w:t xml:space="preserve">Estas analogías determinan que la inversión tokenizada directa quede sujeta a la regulación del mercado de valores y a la supervisión de la CNMV. </w:t>
      </w:r>
      <w:r w:rsidR="00F45ADB" w:rsidRPr="0080490E">
        <w:rPr>
          <w:rFonts w:asciiTheme="minorHAnsi" w:hAnsiTheme="minorHAnsi" w:cstheme="minorHAnsi"/>
          <w:szCs w:val="24"/>
        </w:rPr>
        <w:t>Por ello</w:t>
      </w:r>
      <w:r w:rsidRPr="0080490E">
        <w:rPr>
          <w:rFonts w:asciiTheme="minorHAnsi" w:hAnsiTheme="minorHAnsi" w:cstheme="minorHAnsi"/>
          <w:szCs w:val="24"/>
        </w:rPr>
        <w:t xml:space="preserve">, la emisión de </w:t>
      </w:r>
      <w:r w:rsidR="00F45ADB" w:rsidRPr="0080490E">
        <w:rPr>
          <w:rFonts w:asciiTheme="minorHAnsi" w:hAnsiTheme="minorHAnsi" w:cstheme="minorHAnsi"/>
          <w:szCs w:val="24"/>
        </w:rPr>
        <w:t>los tokens</w:t>
      </w:r>
      <w:r w:rsidRPr="0080490E">
        <w:rPr>
          <w:rFonts w:asciiTheme="minorHAnsi" w:hAnsiTheme="minorHAnsi" w:cstheme="minorHAnsi"/>
          <w:szCs w:val="24"/>
        </w:rPr>
        <w:t xml:space="preserve"> </w:t>
      </w:r>
      <w:r w:rsidR="00B953B6" w:rsidRPr="0080490E">
        <w:rPr>
          <w:rFonts w:asciiTheme="minorHAnsi" w:hAnsiTheme="minorHAnsi" w:cstheme="minorHAnsi"/>
          <w:szCs w:val="24"/>
        </w:rPr>
        <w:t>requiere</w:t>
      </w:r>
      <w:r w:rsidRPr="0080490E">
        <w:rPr>
          <w:rFonts w:asciiTheme="minorHAnsi" w:hAnsiTheme="minorHAnsi" w:cstheme="minorHAnsi"/>
          <w:szCs w:val="24"/>
        </w:rPr>
        <w:t xml:space="preserve"> un folleto, el mantenimiento de un registro contable y la </w:t>
      </w:r>
      <w:r w:rsidR="00300CC2" w:rsidRPr="0080490E">
        <w:rPr>
          <w:rFonts w:asciiTheme="minorHAnsi" w:hAnsiTheme="minorHAnsi" w:cstheme="minorHAnsi"/>
          <w:szCs w:val="24"/>
        </w:rPr>
        <w:t xml:space="preserve">consecuente </w:t>
      </w:r>
      <w:r w:rsidRPr="0080490E">
        <w:rPr>
          <w:rFonts w:asciiTheme="minorHAnsi" w:hAnsiTheme="minorHAnsi" w:cstheme="minorHAnsi"/>
          <w:szCs w:val="24"/>
        </w:rPr>
        <w:t>asunción de responsabilidades</w:t>
      </w:r>
      <w:r w:rsidR="002654DC" w:rsidRPr="0080490E">
        <w:rPr>
          <w:rFonts w:asciiTheme="minorHAnsi" w:hAnsiTheme="minorHAnsi" w:cstheme="minorHAnsi"/>
          <w:szCs w:val="24"/>
          <w:vertAlign w:val="superscript"/>
        </w:rPr>
        <w:footnoteReference w:id="61"/>
      </w:r>
      <w:r w:rsidR="002654DC" w:rsidRPr="0080490E">
        <w:rPr>
          <w:rFonts w:asciiTheme="minorHAnsi" w:hAnsiTheme="minorHAnsi" w:cstheme="minorHAnsi"/>
          <w:szCs w:val="24"/>
        </w:rPr>
        <w:t>.</w:t>
      </w:r>
    </w:p>
    <w:p w14:paraId="6DF1712E" w14:textId="08AC7073" w:rsidR="00733625" w:rsidRPr="0080490E" w:rsidRDefault="00F62EB9"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Aunque las emisiones de criptoactivos suelen incorporar un </w:t>
      </w:r>
      <w:proofErr w:type="spellStart"/>
      <w:r w:rsidRPr="0080490E">
        <w:rPr>
          <w:rFonts w:asciiTheme="minorHAnsi" w:hAnsiTheme="minorHAnsi" w:cstheme="minorHAnsi"/>
          <w:i/>
          <w:iCs/>
          <w:szCs w:val="24"/>
        </w:rPr>
        <w:t>whitepaper</w:t>
      </w:r>
      <w:proofErr w:type="spellEnd"/>
      <w:r w:rsidR="00072307" w:rsidRPr="0080490E">
        <w:rPr>
          <w:rFonts w:asciiTheme="minorHAnsi" w:hAnsiTheme="minorHAnsi" w:cstheme="minorHAnsi"/>
          <w:szCs w:val="24"/>
        </w:rPr>
        <w:t xml:space="preserve"> su contenido </w:t>
      </w:r>
      <w:r w:rsidR="00757D46" w:rsidRPr="0080490E">
        <w:rPr>
          <w:rFonts w:asciiTheme="minorHAnsi" w:hAnsiTheme="minorHAnsi" w:cstheme="minorHAnsi"/>
          <w:szCs w:val="24"/>
        </w:rPr>
        <w:t>no cubre todos los aspectos requeridos por la normativa sobre folletos</w:t>
      </w:r>
      <w:r w:rsidRPr="0080490E">
        <w:rPr>
          <w:rStyle w:val="Refdenotaalpie"/>
          <w:rFonts w:asciiTheme="minorHAnsi" w:hAnsiTheme="minorHAnsi" w:cstheme="minorHAnsi"/>
          <w:szCs w:val="24"/>
        </w:rPr>
        <w:footnoteReference w:id="62"/>
      </w:r>
      <w:r w:rsidRPr="0080490E">
        <w:rPr>
          <w:rFonts w:asciiTheme="minorHAnsi" w:hAnsiTheme="minorHAnsi" w:cstheme="minorHAnsi"/>
          <w:szCs w:val="24"/>
        </w:rPr>
        <w:t>.</w:t>
      </w:r>
      <w:r w:rsidR="00072307" w:rsidRPr="0080490E">
        <w:rPr>
          <w:rFonts w:asciiTheme="minorHAnsi" w:hAnsiTheme="minorHAnsi" w:cstheme="minorHAnsi"/>
          <w:szCs w:val="24"/>
        </w:rPr>
        <w:t xml:space="preserve"> L</w:t>
      </w:r>
      <w:r w:rsidR="00733625" w:rsidRPr="0080490E">
        <w:rPr>
          <w:rFonts w:asciiTheme="minorHAnsi" w:hAnsiTheme="minorHAnsi" w:cstheme="minorHAnsi"/>
          <w:szCs w:val="24"/>
        </w:rPr>
        <w:t xml:space="preserve">a obligación de </w:t>
      </w:r>
      <w:r w:rsidR="003E7A78" w:rsidRPr="0080490E">
        <w:rPr>
          <w:rFonts w:asciiTheme="minorHAnsi" w:hAnsiTheme="minorHAnsi" w:cstheme="minorHAnsi"/>
          <w:szCs w:val="24"/>
        </w:rPr>
        <w:t>elaborar</w:t>
      </w:r>
      <w:r w:rsidR="00733625" w:rsidRPr="0080490E">
        <w:rPr>
          <w:rFonts w:asciiTheme="minorHAnsi" w:hAnsiTheme="minorHAnsi" w:cstheme="minorHAnsi"/>
          <w:szCs w:val="24"/>
        </w:rPr>
        <w:t xml:space="preserve"> el folleto</w:t>
      </w:r>
      <w:r w:rsidR="00072307" w:rsidRPr="0080490E">
        <w:rPr>
          <w:rFonts w:asciiTheme="minorHAnsi" w:hAnsiTheme="minorHAnsi" w:cstheme="minorHAnsi"/>
          <w:szCs w:val="24"/>
        </w:rPr>
        <w:t>, no obstante,</w:t>
      </w:r>
      <w:r w:rsidR="00733625" w:rsidRPr="0080490E">
        <w:rPr>
          <w:rFonts w:asciiTheme="minorHAnsi" w:hAnsiTheme="minorHAnsi" w:cstheme="minorHAnsi"/>
          <w:szCs w:val="24"/>
        </w:rPr>
        <w:t xml:space="preserve"> </w:t>
      </w:r>
      <w:r w:rsidR="00DB4809" w:rsidRPr="0080490E">
        <w:rPr>
          <w:rFonts w:asciiTheme="minorHAnsi" w:hAnsiTheme="minorHAnsi" w:cstheme="minorHAnsi"/>
          <w:szCs w:val="24"/>
        </w:rPr>
        <w:t>se</w:t>
      </w:r>
      <w:r w:rsidR="00733625" w:rsidRPr="0080490E">
        <w:rPr>
          <w:rFonts w:asciiTheme="minorHAnsi" w:hAnsiTheme="minorHAnsi" w:cstheme="minorHAnsi"/>
          <w:szCs w:val="24"/>
        </w:rPr>
        <w:t xml:space="preserve"> </w:t>
      </w:r>
      <w:r w:rsidR="00E440D0" w:rsidRPr="0080490E">
        <w:rPr>
          <w:rFonts w:asciiTheme="minorHAnsi" w:hAnsiTheme="minorHAnsi" w:cstheme="minorHAnsi"/>
          <w:szCs w:val="24"/>
        </w:rPr>
        <w:t>excluye</w:t>
      </w:r>
      <w:r w:rsidR="00733625" w:rsidRPr="0080490E">
        <w:rPr>
          <w:rFonts w:asciiTheme="minorHAnsi" w:hAnsiTheme="minorHAnsi" w:cstheme="minorHAnsi"/>
          <w:szCs w:val="24"/>
        </w:rPr>
        <w:t xml:space="preserve"> en </w:t>
      </w:r>
      <w:r w:rsidR="00F91F9D" w:rsidRPr="0080490E">
        <w:rPr>
          <w:rFonts w:asciiTheme="minorHAnsi" w:hAnsiTheme="minorHAnsi" w:cstheme="minorHAnsi"/>
          <w:szCs w:val="24"/>
        </w:rPr>
        <w:t>los</w:t>
      </w:r>
      <w:r w:rsidR="00733625" w:rsidRPr="0080490E">
        <w:rPr>
          <w:rFonts w:asciiTheme="minorHAnsi" w:hAnsiTheme="minorHAnsi" w:cstheme="minorHAnsi"/>
          <w:szCs w:val="24"/>
        </w:rPr>
        <w:t xml:space="preserve"> supuestos </w:t>
      </w:r>
      <w:r w:rsidR="00DB4809" w:rsidRPr="0080490E">
        <w:rPr>
          <w:rFonts w:asciiTheme="minorHAnsi" w:hAnsiTheme="minorHAnsi" w:cstheme="minorHAnsi"/>
          <w:szCs w:val="24"/>
        </w:rPr>
        <w:t>de</w:t>
      </w:r>
      <w:r w:rsidR="000C3BD8" w:rsidRPr="0080490E">
        <w:rPr>
          <w:rFonts w:asciiTheme="minorHAnsi" w:hAnsiTheme="minorHAnsi" w:cstheme="minorHAnsi"/>
          <w:szCs w:val="24"/>
        </w:rPr>
        <w:t xml:space="preserve"> </w:t>
      </w:r>
      <w:r w:rsidR="00733625" w:rsidRPr="0080490E">
        <w:rPr>
          <w:rFonts w:asciiTheme="minorHAnsi" w:hAnsiTheme="minorHAnsi" w:cstheme="minorHAnsi"/>
          <w:szCs w:val="24"/>
        </w:rPr>
        <w:t>l</w:t>
      </w:r>
      <w:r w:rsidR="000C3BD8" w:rsidRPr="0080490E">
        <w:rPr>
          <w:rFonts w:asciiTheme="minorHAnsi" w:hAnsiTheme="minorHAnsi" w:cstheme="minorHAnsi"/>
          <w:szCs w:val="24"/>
        </w:rPr>
        <w:t>os</w:t>
      </w:r>
      <w:r w:rsidR="00733625" w:rsidRPr="0080490E">
        <w:rPr>
          <w:rFonts w:asciiTheme="minorHAnsi" w:hAnsiTheme="minorHAnsi" w:cstheme="minorHAnsi"/>
          <w:szCs w:val="24"/>
        </w:rPr>
        <w:t xml:space="preserve"> artículo</w:t>
      </w:r>
      <w:r w:rsidR="000C3BD8" w:rsidRPr="0080490E">
        <w:rPr>
          <w:rFonts w:asciiTheme="minorHAnsi" w:hAnsiTheme="minorHAnsi" w:cstheme="minorHAnsi"/>
          <w:szCs w:val="24"/>
        </w:rPr>
        <w:t>s</w:t>
      </w:r>
      <w:r w:rsidR="00733625" w:rsidRPr="0080490E">
        <w:rPr>
          <w:rFonts w:asciiTheme="minorHAnsi" w:hAnsiTheme="minorHAnsi" w:cstheme="minorHAnsi"/>
          <w:szCs w:val="24"/>
        </w:rPr>
        <w:t xml:space="preserve"> 35.2 TRLMV</w:t>
      </w:r>
      <w:r w:rsidR="000C3BD8" w:rsidRPr="0080490E">
        <w:rPr>
          <w:rFonts w:asciiTheme="minorHAnsi" w:hAnsiTheme="minorHAnsi" w:cstheme="minorHAnsi"/>
          <w:szCs w:val="24"/>
        </w:rPr>
        <w:t xml:space="preserve"> y 36.1 LMVSI</w:t>
      </w:r>
      <w:r w:rsidR="00733625" w:rsidRPr="0080490E">
        <w:rPr>
          <w:rStyle w:val="Refdenotaalpie"/>
          <w:rFonts w:asciiTheme="minorHAnsi" w:hAnsiTheme="minorHAnsi" w:cstheme="minorHAnsi"/>
          <w:szCs w:val="24"/>
        </w:rPr>
        <w:footnoteReference w:id="63"/>
      </w:r>
      <w:r w:rsidR="00733625" w:rsidRPr="0080490E">
        <w:rPr>
          <w:rFonts w:asciiTheme="minorHAnsi" w:hAnsiTheme="minorHAnsi" w:cstheme="minorHAnsi"/>
          <w:szCs w:val="24"/>
        </w:rPr>
        <w:t xml:space="preserve">. Uno de los casos en los que no se precisa el folleto es que la oferta sea inferior a </w:t>
      </w:r>
      <w:r w:rsidR="00660B42" w:rsidRPr="0080490E">
        <w:rPr>
          <w:rFonts w:asciiTheme="minorHAnsi" w:hAnsiTheme="minorHAnsi" w:cstheme="minorHAnsi"/>
          <w:szCs w:val="24"/>
        </w:rPr>
        <w:t xml:space="preserve">ocho </w:t>
      </w:r>
      <w:r w:rsidR="00733625" w:rsidRPr="0080490E">
        <w:rPr>
          <w:rFonts w:asciiTheme="minorHAnsi" w:hAnsiTheme="minorHAnsi" w:cstheme="minorHAnsi"/>
          <w:szCs w:val="24"/>
        </w:rPr>
        <w:t>millones de euros</w:t>
      </w:r>
      <w:r w:rsidR="00660B42" w:rsidRPr="0080490E">
        <w:rPr>
          <w:rStyle w:val="Refdenotaalpie"/>
          <w:rFonts w:asciiTheme="minorHAnsi" w:hAnsiTheme="minorHAnsi" w:cstheme="minorHAnsi"/>
          <w:szCs w:val="24"/>
        </w:rPr>
        <w:footnoteReference w:id="64"/>
      </w:r>
      <w:r w:rsidR="00733625" w:rsidRPr="0080490E">
        <w:rPr>
          <w:rFonts w:asciiTheme="minorHAnsi" w:hAnsiTheme="minorHAnsi" w:cstheme="minorHAnsi"/>
          <w:szCs w:val="24"/>
        </w:rPr>
        <w:t xml:space="preserve">. </w:t>
      </w:r>
      <w:r w:rsidR="00BF5D6A" w:rsidRPr="0080490E">
        <w:rPr>
          <w:rFonts w:asciiTheme="minorHAnsi" w:hAnsiTheme="minorHAnsi" w:cstheme="minorHAnsi"/>
          <w:szCs w:val="24"/>
        </w:rPr>
        <w:t xml:space="preserve">Esta exclusión </w:t>
      </w:r>
      <w:r w:rsidR="003E7A78" w:rsidRPr="0080490E">
        <w:rPr>
          <w:rFonts w:asciiTheme="minorHAnsi" w:hAnsiTheme="minorHAnsi" w:cstheme="minorHAnsi"/>
          <w:szCs w:val="24"/>
        </w:rPr>
        <w:t>presenta</w:t>
      </w:r>
      <w:r w:rsidR="00BF5D6A" w:rsidRPr="0080490E">
        <w:rPr>
          <w:rFonts w:asciiTheme="minorHAnsi" w:hAnsiTheme="minorHAnsi" w:cstheme="minorHAnsi"/>
          <w:szCs w:val="24"/>
        </w:rPr>
        <w:t xml:space="preserve"> gran interés en el contexto de la </w:t>
      </w:r>
      <w:r w:rsidR="003E7A78" w:rsidRPr="0080490E">
        <w:rPr>
          <w:rFonts w:asciiTheme="minorHAnsi" w:hAnsiTheme="minorHAnsi" w:cstheme="minorHAnsi"/>
          <w:szCs w:val="24"/>
        </w:rPr>
        <w:t xml:space="preserve">inversión </w:t>
      </w:r>
      <w:r w:rsidR="00BF5D6A" w:rsidRPr="0080490E">
        <w:rPr>
          <w:rFonts w:asciiTheme="minorHAnsi" w:hAnsiTheme="minorHAnsi" w:cstheme="minorHAnsi"/>
          <w:szCs w:val="24"/>
        </w:rPr>
        <w:t>tokeniza</w:t>
      </w:r>
      <w:r w:rsidR="003E7A78" w:rsidRPr="0080490E">
        <w:rPr>
          <w:rFonts w:asciiTheme="minorHAnsi" w:hAnsiTheme="minorHAnsi" w:cstheme="minorHAnsi"/>
          <w:szCs w:val="24"/>
        </w:rPr>
        <w:t>da</w:t>
      </w:r>
      <w:r w:rsidR="00BF5D6A" w:rsidRPr="0080490E">
        <w:rPr>
          <w:rFonts w:asciiTheme="minorHAnsi" w:hAnsiTheme="minorHAnsi" w:cstheme="minorHAnsi"/>
          <w:szCs w:val="24"/>
        </w:rPr>
        <w:t xml:space="preserve">, ya que muchas operaciones no alcanzan ese límite. En tales casos, se </w:t>
      </w:r>
      <w:r w:rsidR="003E7A78" w:rsidRPr="0080490E">
        <w:rPr>
          <w:rFonts w:asciiTheme="minorHAnsi" w:hAnsiTheme="minorHAnsi" w:cstheme="minorHAnsi"/>
          <w:szCs w:val="24"/>
        </w:rPr>
        <w:t>precisa</w:t>
      </w:r>
      <w:r w:rsidR="00BF5D6A" w:rsidRPr="0080490E">
        <w:rPr>
          <w:rFonts w:asciiTheme="minorHAnsi" w:hAnsiTheme="minorHAnsi" w:cstheme="minorHAnsi"/>
          <w:szCs w:val="24"/>
        </w:rPr>
        <w:t xml:space="preserve"> </w:t>
      </w:r>
      <w:r w:rsidR="00F80E70" w:rsidRPr="0080490E">
        <w:rPr>
          <w:rFonts w:asciiTheme="minorHAnsi" w:hAnsiTheme="minorHAnsi" w:cstheme="minorHAnsi"/>
          <w:szCs w:val="24"/>
        </w:rPr>
        <w:t>que</w:t>
      </w:r>
      <w:r w:rsidR="00BF5D6A" w:rsidRPr="0080490E">
        <w:rPr>
          <w:rFonts w:asciiTheme="minorHAnsi" w:hAnsiTheme="minorHAnsi" w:cstheme="minorHAnsi"/>
          <w:szCs w:val="24"/>
        </w:rPr>
        <w:t xml:space="preserve"> una entidad autorizada por la CNMV para prestar servicios de inversión</w:t>
      </w:r>
      <w:r w:rsidR="003E7A78" w:rsidRPr="0080490E">
        <w:rPr>
          <w:rFonts w:asciiTheme="minorHAnsi" w:hAnsiTheme="minorHAnsi" w:cstheme="minorHAnsi"/>
          <w:szCs w:val="24"/>
        </w:rPr>
        <w:t xml:space="preserve"> </w:t>
      </w:r>
      <w:r w:rsidR="009916BA" w:rsidRPr="0080490E">
        <w:rPr>
          <w:rFonts w:asciiTheme="minorHAnsi" w:hAnsiTheme="minorHAnsi" w:cstheme="minorHAnsi"/>
          <w:szCs w:val="24"/>
        </w:rPr>
        <w:t>supervis</w:t>
      </w:r>
      <w:r w:rsidR="00F80E70" w:rsidRPr="0080490E">
        <w:rPr>
          <w:rFonts w:asciiTheme="minorHAnsi" w:hAnsiTheme="minorHAnsi" w:cstheme="minorHAnsi"/>
          <w:szCs w:val="24"/>
        </w:rPr>
        <w:t>e</w:t>
      </w:r>
      <w:r w:rsidR="003E7A78" w:rsidRPr="0080490E">
        <w:rPr>
          <w:rFonts w:asciiTheme="minorHAnsi" w:hAnsiTheme="minorHAnsi" w:cstheme="minorHAnsi"/>
          <w:szCs w:val="24"/>
        </w:rPr>
        <w:t xml:space="preserve"> </w:t>
      </w:r>
      <w:r w:rsidR="00F80E70" w:rsidRPr="0080490E">
        <w:rPr>
          <w:rFonts w:asciiTheme="minorHAnsi" w:hAnsiTheme="minorHAnsi" w:cstheme="minorHAnsi"/>
          <w:szCs w:val="24"/>
        </w:rPr>
        <w:t>la comercialización de los valores tokenizados</w:t>
      </w:r>
      <w:r w:rsidR="009916BA" w:rsidRPr="0080490E">
        <w:rPr>
          <w:rFonts w:asciiTheme="minorHAnsi" w:hAnsiTheme="minorHAnsi" w:cstheme="minorHAnsi"/>
          <w:szCs w:val="24"/>
        </w:rPr>
        <w:t xml:space="preserve"> y valid</w:t>
      </w:r>
      <w:r w:rsidR="00F80E70" w:rsidRPr="0080490E">
        <w:rPr>
          <w:rFonts w:asciiTheme="minorHAnsi" w:hAnsiTheme="minorHAnsi" w:cstheme="minorHAnsi"/>
          <w:szCs w:val="24"/>
        </w:rPr>
        <w:t>e</w:t>
      </w:r>
      <w:r w:rsidR="009916BA" w:rsidRPr="0080490E">
        <w:rPr>
          <w:rFonts w:asciiTheme="minorHAnsi" w:hAnsiTheme="minorHAnsi" w:cstheme="minorHAnsi"/>
          <w:szCs w:val="24"/>
        </w:rPr>
        <w:t xml:space="preserve"> la información proporcionada a los inversore</w:t>
      </w:r>
      <w:r w:rsidR="00F80E70" w:rsidRPr="0080490E">
        <w:rPr>
          <w:rFonts w:asciiTheme="minorHAnsi" w:hAnsiTheme="minorHAnsi" w:cstheme="minorHAnsi"/>
          <w:szCs w:val="24"/>
        </w:rPr>
        <w:t>s</w:t>
      </w:r>
      <w:r w:rsidR="002B6477" w:rsidRPr="0080490E">
        <w:rPr>
          <w:rStyle w:val="Refdenotaalpie"/>
          <w:rFonts w:asciiTheme="minorHAnsi" w:hAnsiTheme="minorHAnsi" w:cstheme="minorHAnsi"/>
          <w:szCs w:val="24"/>
        </w:rPr>
        <w:footnoteReference w:id="65"/>
      </w:r>
      <w:r w:rsidR="002B6477" w:rsidRPr="0080490E">
        <w:rPr>
          <w:rFonts w:asciiTheme="minorHAnsi" w:hAnsiTheme="minorHAnsi" w:cstheme="minorHAnsi"/>
          <w:szCs w:val="24"/>
        </w:rPr>
        <w:t>.</w:t>
      </w:r>
    </w:p>
    <w:p w14:paraId="3DF070D7" w14:textId="70C32F7B" w:rsidR="00DF2049" w:rsidRPr="0080490E" w:rsidRDefault="00DF2049"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La asimilación de los </w:t>
      </w:r>
      <w:proofErr w:type="spellStart"/>
      <w:r w:rsidRPr="0080490E">
        <w:rPr>
          <w:rFonts w:asciiTheme="minorHAnsi" w:hAnsiTheme="minorHAnsi" w:cstheme="minorHAnsi"/>
          <w:i/>
          <w:szCs w:val="24"/>
        </w:rPr>
        <w:t>security</w:t>
      </w:r>
      <w:proofErr w:type="spellEnd"/>
      <w:r w:rsidRPr="0080490E">
        <w:rPr>
          <w:rFonts w:asciiTheme="minorHAnsi" w:hAnsiTheme="minorHAnsi" w:cstheme="minorHAnsi"/>
          <w:i/>
          <w:szCs w:val="24"/>
        </w:rPr>
        <w:t xml:space="preserve"> tokens</w:t>
      </w:r>
      <w:r w:rsidRPr="0080490E">
        <w:rPr>
          <w:rFonts w:asciiTheme="minorHAnsi" w:hAnsiTheme="minorHAnsi" w:cstheme="minorHAnsi"/>
          <w:szCs w:val="24"/>
        </w:rPr>
        <w:t xml:space="preserve"> como valores </w:t>
      </w:r>
      <w:r w:rsidR="0033303F" w:rsidRPr="0080490E">
        <w:rPr>
          <w:rFonts w:asciiTheme="minorHAnsi" w:hAnsiTheme="minorHAnsi" w:cstheme="minorHAnsi"/>
          <w:szCs w:val="24"/>
        </w:rPr>
        <w:t>negociable</w:t>
      </w:r>
      <w:r w:rsidRPr="0080490E">
        <w:rPr>
          <w:rFonts w:asciiTheme="minorHAnsi" w:hAnsiTheme="minorHAnsi" w:cstheme="minorHAnsi"/>
          <w:szCs w:val="24"/>
        </w:rPr>
        <w:t>s</w:t>
      </w:r>
      <w:r w:rsidR="00036DC4" w:rsidRPr="0080490E">
        <w:rPr>
          <w:rFonts w:asciiTheme="minorHAnsi" w:hAnsiTheme="minorHAnsi" w:cstheme="minorHAnsi"/>
          <w:szCs w:val="24"/>
        </w:rPr>
        <w:t xml:space="preserve"> </w:t>
      </w:r>
      <w:r w:rsidRPr="0080490E">
        <w:rPr>
          <w:rFonts w:asciiTheme="minorHAnsi" w:hAnsiTheme="minorHAnsi" w:cstheme="minorHAnsi"/>
          <w:szCs w:val="24"/>
        </w:rPr>
        <w:t xml:space="preserve">obedece a una interpretación finalista con la que evitar que el vacío normativo </w:t>
      </w:r>
      <w:r w:rsidR="00763120" w:rsidRPr="0080490E">
        <w:rPr>
          <w:rFonts w:asciiTheme="minorHAnsi" w:hAnsiTheme="minorHAnsi" w:cstheme="minorHAnsi"/>
          <w:szCs w:val="24"/>
        </w:rPr>
        <w:t>sea</w:t>
      </w:r>
      <w:r w:rsidRPr="0080490E">
        <w:rPr>
          <w:rFonts w:asciiTheme="minorHAnsi" w:hAnsiTheme="minorHAnsi" w:cstheme="minorHAnsi"/>
          <w:szCs w:val="24"/>
        </w:rPr>
        <w:t xml:space="preserve"> una oportunidad </w:t>
      </w:r>
      <w:r w:rsidR="00763120" w:rsidRPr="0080490E">
        <w:rPr>
          <w:rFonts w:asciiTheme="minorHAnsi" w:hAnsiTheme="minorHAnsi" w:cstheme="minorHAnsi"/>
          <w:szCs w:val="24"/>
        </w:rPr>
        <w:t>para</w:t>
      </w:r>
      <w:r w:rsidRPr="0080490E">
        <w:rPr>
          <w:rFonts w:asciiTheme="minorHAnsi" w:hAnsiTheme="minorHAnsi" w:cstheme="minorHAnsi"/>
          <w:szCs w:val="24"/>
        </w:rPr>
        <w:t xml:space="preserve"> fraudes. </w:t>
      </w:r>
      <w:r w:rsidR="009916BA" w:rsidRPr="0080490E">
        <w:rPr>
          <w:rFonts w:asciiTheme="minorHAnsi" w:hAnsiTheme="minorHAnsi" w:cstheme="minorHAnsi"/>
          <w:szCs w:val="24"/>
        </w:rPr>
        <w:t>La posición adoptada por la CNMV tiene como objetivo principal</w:t>
      </w:r>
      <w:r w:rsidR="00763120" w:rsidRPr="0080490E">
        <w:rPr>
          <w:rFonts w:asciiTheme="minorHAnsi" w:hAnsiTheme="minorHAnsi" w:cstheme="minorHAnsi"/>
          <w:szCs w:val="24"/>
        </w:rPr>
        <w:t>, por tanto,</w:t>
      </w:r>
      <w:r w:rsidR="009916BA" w:rsidRPr="0080490E">
        <w:rPr>
          <w:rFonts w:asciiTheme="minorHAnsi" w:hAnsiTheme="minorHAnsi" w:cstheme="minorHAnsi"/>
          <w:szCs w:val="24"/>
        </w:rPr>
        <w:t xml:space="preserve"> proteger al inversor mediante obligaciones de supervisión y control</w:t>
      </w:r>
      <w:r w:rsidR="003D4FB6" w:rsidRPr="0080490E">
        <w:rPr>
          <w:rFonts w:asciiTheme="minorHAnsi" w:hAnsiTheme="minorHAnsi" w:cstheme="minorHAnsi"/>
          <w:szCs w:val="24"/>
        </w:rPr>
        <w:t xml:space="preserve"> del emisor</w:t>
      </w:r>
      <w:r w:rsidR="009916BA" w:rsidRPr="0080490E">
        <w:rPr>
          <w:rFonts w:asciiTheme="minorHAnsi" w:hAnsiTheme="minorHAnsi" w:cstheme="minorHAnsi"/>
          <w:szCs w:val="24"/>
        </w:rPr>
        <w:t>. No obstante, esta asimilación no está exenta de problemas</w:t>
      </w:r>
      <w:r w:rsidRPr="0080490E">
        <w:rPr>
          <w:rFonts w:asciiTheme="minorHAnsi" w:hAnsiTheme="minorHAnsi" w:cstheme="minorHAnsi"/>
          <w:szCs w:val="24"/>
        </w:rPr>
        <w:t>.</w:t>
      </w:r>
    </w:p>
    <w:p w14:paraId="1E4A3CF6" w14:textId="77777777" w:rsidR="006241C4" w:rsidRPr="0080490E" w:rsidRDefault="006241C4" w:rsidP="0080490E">
      <w:pPr>
        <w:spacing w:after="0" w:line="276" w:lineRule="auto"/>
        <w:ind w:firstLine="0"/>
        <w:rPr>
          <w:rFonts w:asciiTheme="minorHAnsi" w:hAnsiTheme="minorHAnsi" w:cstheme="minorHAnsi"/>
          <w:szCs w:val="24"/>
        </w:rPr>
      </w:pPr>
    </w:p>
    <w:p w14:paraId="058E476E" w14:textId="7419ADC8" w:rsidR="00B75BA4" w:rsidRPr="0080490E" w:rsidRDefault="00842164" w:rsidP="0080490E">
      <w:pPr>
        <w:pStyle w:val="Ttulo2"/>
        <w:spacing w:after="0" w:line="276" w:lineRule="auto"/>
        <w:ind w:firstLine="0"/>
        <w:rPr>
          <w:rFonts w:asciiTheme="minorHAnsi" w:hAnsiTheme="minorHAnsi" w:cstheme="minorHAnsi"/>
          <w:szCs w:val="24"/>
        </w:rPr>
      </w:pPr>
      <w:r w:rsidRPr="0080490E">
        <w:rPr>
          <w:rFonts w:asciiTheme="minorHAnsi" w:hAnsiTheme="minorHAnsi" w:cstheme="minorHAnsi"/>
          <w:szCs w:val="24"/>
        </w:rPr>
        <w:t>6</w:t>
      </w:r>
      <w:r w:rsidR="00B75BA4" w:rsidRPr="0080490E">
        <w:rPr>
          <w:rFonts w:asciiTheme="minorHAnsi" w:hAnsiTheme="minorHAnsi" w:cstheme="minorHAnsi"/>
          <w:szCs w:val="24"/>
        </w:rPr>
        <w:t>.</w:t>
      </w:r>
      <w:r w:rsidRPr="0080490E">
        <w:rPr>
          <w:rFonts w:asciiTheme="minorHAnsi" w:hAnsiTheme="minorHAnsi" w:cstheme="minorHAnsi"/>
          <w:szCs w:val="24"/>
        </w:rPr>
        <w:t>2</w:t>
      </w:r>
      <w:r w:rsidR="00B75BA4" w:rsidRPr="0080490E">
        <w:rPr>
          <w:rFonts w:asciiTheme="minorHAnsi" w:hAnsiTheme="minorHAnsi" w:cstheme="minorHAnsi"/>
          <w:szCs w:val="24"/>
        </w:rPr>
        <w:t xml:space="preserve">. ¿Son los </w:t>
      </w:r>
      <w:proofErr w:type="spellStart"/>
      <w:r w:rsidR="00B75BA4" w:rsidRPr="0080490E">
        <w:rPr>
          <w:rFonts w:asciiTheme="minorHAnsi" w:hAnsiTheme="minorHAnsi" w:cstheme="minorHAnsi"/>
          <w:i w:val="0"/>
          <w:iCs/>
          <w:szCs w:val="24"/>
        </w:rPr>
        <w:t>security</w:t>
      </w:r>
      <w:proofErr w:type="spellEnd"/>
      <w:r w:rsidR="00B75BA4" w:rsidRPr="0080490E">
        <w:rPr>
          <w:rFonts w:asciiTheme="minorHAnsi" w:hAnsiTheme="minorHAnsi" w:cstheme="minorHAnsi"/>
          <w:i w:val="0"/>
          <w:iCs/>
          <w:szCs w:val="24"/>
        </w:rPr>
        <w:t xml:space="preserve"> tokens</w:t>
      </w:r>
      <w:r w:rsidR="00B75BA4" w:rsidRPr="0080490E">
        <w:rPr>
          <w:rFonts w:asciiTheme="minorHAnsi" w:hAnsiTheme="minorHAnsi" w:cstheme="minorHAnsi"/>
          <w:szCs w:val="24"/>
        </w:rPr>
        <w:t xml:space="preserve"> </w:t>
      </w:r>
      <w:r w:rsidR="00C75115" w:rsidRPr="0080490E">
        <w:rPr>
          <w:rFonts w:asciiTheme="minorHAnsi" w:hAnsiTheme="minorHAnsi" w:cstheme="minorHAnsi"/>
          <w:szCs w:val="24"/>
        </w:rPr>
        <w:t xml:space="preserve">valores </w:t>
      </w:r>
      <w:r w:rsidR="0033303F" w:rsidRPr="0080490E">
        <w:rPr>
          <w:rFonts w:asciiTheme="minorHAnsi" w:hAnsiTheme="minorHAnsi" w:cstheme="minorHAnsi"/>
          <w:szCs w:val="24"/>
        </w:rPr>
        <w:t>negociable</w:t>
      </w:r>
      <w:r w:rsidR="00C75115" w:rsidRPr="0080490E">
        <w:rPr>
          <w:rFonts w:asciiTheme="minorHAnsi" w:hAnsiTheme="minorHAnsi" w:cstheme="minorHAnsi"/>
          <w:szCs w:val="24"/>
        </w:rPr>
        <w:t>s</w:t>
      </w:r>
      <w:r w:rsidR="00B75BA4" w:rsidRPr="0080490E">
        <w:rPr>
          <w:rFonts w:asciiTheme="minorHAnsi" w:hAnsiTheme="minorHAnsi" w:cstheme="minorHAnsi"/>
          <w:szCs w:val="24"/>
        </w:rPr>
        <w:t>?</w:t>
      </w:r>
    </w:p>
    <w:p w14:paraId="6A3748B3" w14:textId="6BFFF05B" w:rsidR="00D349B0" w:rsidRPr="0080490E" w:rsidRDefault="00A65E7B"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La </w:t>
      </w:r>
      <w:r w:rsidR="006F7C5C" w:rsidRPr="0080490E">
        <w:rPr>
          <w:rFonts w:asciiTheme="minorHAnsi" w:hAnsiTheme="minorHAnsi" w:cstheme="minorHAnsi"/>
          <w:szCs w:val="24"/>
        </w:rPr>
        <w:t>caracterización</w:t>
      </w:r>
      <w:r w:rsidRPr="0080490E">
        <w:rPr>
          <w:rFonts w:asciiTheme="minorHAnsi" w:hAnsiTheme="minorHAnsi" w:cstheme="minorHAnsi"/>
          <w:szCs w:val="24"/>
        </w:rPr>
        <w:t xml:space="preserve"> de los </w:t>
      </w:r>
      <w:proofErr w:type="spellStart"/>
      <w:r w:rsidRPr="0080490E">
        <w:rPr>
          <w:rFonts w:asciiTheme="minorHAnsi" w:hAnsiTheme="minorHAnsi" w:cstheme="minorHAnsi"/>
          <w:i/>
          <w:szCs w:val="24"/>
        </w:rPr>
        <w:t>security</w:t>
      </w:r>
      <w:proofErr w:type="spellEnd"/>
      <w:r w:rsidRPr="0080490E">
        <w:rPr>
          <w:rFonts w:asciiTheme="minorHAnsi" w:hAnsiTheme="minorHAnsi" w:cstheme="minorHAnsi"/>
          <w:i/>
          <w:szCs w:val="24"/>
        </w:rPr>
        <w:t xml:space="preserve"> tokens</w:t>
      </w:r>
      <w:r w:rsidRPr="0080490E">
        <w:rPr>
          <w:rFonts w:asciiTheme="minorHAnsi" w:hAnsiTheme="minorHAnsi" w:cstheme="minorHAnsi"/>
          <w:szCs w:val="24"/>
        </w:rPr>
        <w:t xml:space="preserve"> como valores </w:t>
      </w:r>
      <w:r w:rsidR="0033303F" w:rsidRPr="0080490E">
        <w:rPr>
          <w:rFonts w:asciiTheme="minorHAnsi" w:hAnsiTheme="minorHAnsi" w:cstheme="minorHAnsi"/>
          <w:szCs w:val="24"/>
        </w:rPr>
        <w:t>negociable</w:t>
      </w:r>
      <w:r w:rsidRPr="0080490E">
        <w:rPr>
          <w:rFonts w:asciiTheme="minorHAnsi" w:hAnsiTheme="minorHAnsi" w:cstheme="minorHAnsi"/>
          <w:szCs w:val="24"/>
        </w:rPr>
        <w:t xml:space="preserve">s, aun pudiendo quedar justificada a través de un enfoque </w:t>
      </w:r>
      <w:r w:rsidR="00D349B0" w:rsidRPr="0080490E">
        <w:rPr>
          <w:rFonts w:asciiTheme="minorHAnsi" w:hAnsiTheme="minorHAnsi" w:cstheme="minorHAnsi"/>
          <w:szCs w:val="24"/>
        </w:rPr>
        <w:t>finalista</w:t>
      </w:r>
      <w:r w:rsidRPr="0080490E">
        <w:rPr>
          <w:rFonts w:asciiTheme="minorHAnsi" w:hAnsiTheme="minorHAnsi" w:cstheme="minorHAnsi"/>
          <w:szCs w:val="24"/>
        </w:rPr>
        <w:t xml:space="preserve">, se puede interpretar como indebida. </w:t>
      </w:r>
      <w:r w:rsidR="00497215" w:rsidRPr="0080490E">
        <w:rPr>
          <w:rFonts w:asciiTheme="minorHAnsi" w:hAnsiTheme="minorHAnsi" w:cstheme="minorHAnsi"/>
          <w:szCs w:val="24"/>
        </w:rPr>
        <w:t>En primer término, n</w:t>
      </w:r>
      <w:r w:rsidRPr="0080490E">
        <w:rPr>
          <w:rFonts w:asciiTheme="minorHAnsi" w:hAnsiTheme="minorHAnsi" w:cstheme="minorHAnsi"/>
          <w:szCs w:val="24"/>
        </w:rPr>
        <w:t>o corresponde a la CNMV llevar a cabo la interpretación del ordenamiento jurídico, sino que sus funciones se limitan a la supervisión e inspección de los mercados de valores españoles y de la actividad de cua</w:t>
      </w:r>
      <w:r w:rsidR="00497215" w:rsidRPr="0080490E">
        <w:rPr>
          <w:rFonts w:asciiTheme="minorHAnsi" w:hAnsiTheme="minorHAnsi" w:cstheme="minorHAnsi"/>
          <w:szCs w:val="24"/>
        </w:rPr>
        <w:t xml:space="preserve">ntos intervienen en </w:t>
      </w:r>
      <w:r w:rsidR="006918C7" w:rsidRPr="0080490E">
        <w:rPr>
          <w:rFonts w:asciiTheme="minorHAnsi" w:hAnsiTheme="minorHAnsi" w:cstheme="minorHAnsi"/>
          <w:szCs w:val="24"/>
        </w:rPr>
        <w:t>el</w:t>
      </w:r>
      <w:r w:rsidR="00497215" w:rsidRPr="0080490E">
        <w:rPr>
          <w:rFonts w:asciiTheme="minorHAnsi" w:hAnsiTheme="minorHAnsi" w:cstheme="minorHAnsi"/>
          <w:szCs w:val="24"/>
        </w:rPr>
        <w:t>los.</w:t>
      </w:r>
      <w:r w:rsidR="00DD6180" w:rsidRPr="0080490E">
        <w:rPr>
          <w:rFonts w:asciiTheme="minorHAnsi" w:hAnsiTheme="minorHAnsi" w:cstheme="minorHAnsi"/>
          <w:szCs w:val="24"/>
        </w:rPr>
        <w:t xml:space="preserve"> </w:t>
      </w:r>
      <w:r w:rsidR="00360924" w:rsidRPr="0080490E">
        <w:rPr>
          <w:rFonts w:asciiTheme="minorHAnsi" w:hAnsiTheme="minorHAnsi" w:cstheme="minorHAnsi"/>
          <w:szCs w:val="24"/>
        </w:rPr>
        <w:t>La función normativa que, con base en el artículo 2</w:t>
      </w:r>
      <w:r w:rsidR="00C500C1" w:rsidRPr="0080490E">
        <w:rPr>
          <w:rFonts w:asciiTheme="minorHAnsi" w:hAnsiTheme="minorHAnsi" w:cstheme="minorHAnsi"/>
          <w:szCs w:val="24"/>
        </w:rPr>
        <w:t>1</w:t>
      </w:r>
      <w:r w:rsidR="00360924" w:rsidRPr="0080490E">
        <w:rPr>
          <w:rFonts w:asciiTheme="minorHAnsi" w:hAnsiTheme="minorHAnsi" w:cstheme="minorHAnsi"/>
          <w:szCs w:val="24"/>
        </w:rPr>
        <w:t xml:space="preserve"> </w:t>
      </w:r>
      <w:r w:rsidR="00C500C1" w:rsidRPr="0080490E">
        <w:rPr>
          <w:rFonts w:asciiTheme="minorHAnsi" w:hAnsiTheme="minorHAnsi" w:cstheme="minorHAnsi"/>
          <w:szCs w:val="24"/>
        </w:rPr>
        <w:t>TR</w:t>
      </w:r>
      <w:r w:rsidR="00360924" w:rsidRPr="0080490E">
        <w:rPr>
          <w:rFonts w:asciiTheme="minorHAnsi" w:hAnsiTheme="minorHAnsi" w:cstheme="minorHAnsi"/>
          <w:szCs w:val="24"/>
        </w:rPr>
        <w:t>LMV, se le reconoc</w:t>
      </w:r>
      <w:r w:rsidR="001927B0" w:rsidRPr="0080490E">
        <w:rPr>
          <w:rFonts w:asciiTheme="minorHAnsi" w:hAnsiTheme="minorHAnsi" w:cstheme="minorHAnsi"/>
          <w:szCs w:val="24"/>
        </w:rPr>
        <w:t>ía</w:t>
      </w:r>
      <w:r w:rsidR="00360924" w:rsidRPr="0080490E">
        <w:rPr>
          <w:rFonts w:asciiTheme="minorHAnsi" w:hAnsiTheme="minorHAnsi" w:cstheme="minorHAnsi"/>
          <w:szCs w:val="24"/>
        </w:rPr>
        <w:t xml:space="preserve"> a la CNMV tampoco ampara esta práctica</w:t>
      </w:r>
      <w:r w:rsidR="001927B0" w:rsidRPr="0080490E">
        <w:rPr>
          <w:rStyle w:val="Refdenotaalpie"/>
          <w:rFonts w:asciiTheme="minorHAnsi" w:hAnsiTheme="minorHAnsi" w:cstheme="minorHAnsi"/>
          <w:szCs w:val="24"/>
        </w:rPr>
        <w:footnoteReference w:id="66"/>
      </w:r>
      <w:r w:rsidR="00360924" w:rsidRPr="0080490E">
        <w:rPr>
          <w:rFonts w:asciiTheme="minorHAnsi" w:hAnsiTheme="minorHAnsi" w:cstheme="minorHAnsi"/>
          <w:szCs w:val="24"/>
        </w:rPr>
        <w:t xml:space="preserve">. </w:t>
      </w:r>
      <w:r w:rsidR="00DD6180" w:rsidRPr="0080490E">
        <w:rPr>
          <w:rFonts w:asciiTheme="minorHAnsi" w:hAnsiTheme="minorHAnsi" w:cstheme="minorHAnsi"/>
          <w:szCs w:val="24"/>
        </w:rPr>
        <w:t xml:space="preserve">Por otro lado, se considera indebida porque </w:t>
      </w:r>
      <w:r w:rsidR="00E24BA6" w:rsidRPr="0080490E">
        <w:rPr>
          <w:rFonts w:asciiTheme="minorHAnsi" w:hAnsiTheme="minorHAnsi" w:cstheme="minorHAnsi"/>
          <w:szCs w:val="24"/>
        </w:rPr>
        <w:t xml:space="preserve">no toda </w:t>
      </w:r>
      <w:r w:rsidR="00740510" w:rsidRPr="0080490E">
        <w:rPr>
          <w:rFonts w:asciiTheme="minorHAnsi" w:hAnsiTheme="minorHAnsi" w:cstheme="minorHAnsi"/>
          <w:szCs w:val="24"/>
        </w:rPr>
        <w:t xml:space="preserve">tokenización </w:t>
      </w:r>
      <w:r w:rsidR="00E24BA6" w:rsidRPr="0080490E">
        <w:rPr>
          <w:rFonts w:asciiTheme="minorHAnsi" w:hAnsiTheme="minorHAnsi" w:cstheme="minorHAnsi"/>
          <w:szCs w:val="24"/>
        </w:rPr>
        <w:t>se canaliza</w:t>
      </w:r>
      <w:r w:rsidR="000103CB" w:rsidRPr="0080490E">
        <w:rPr>
          <w:rFonts w:asciiTheme="minorHAnsi" w:hAnsiTheme="minorHAnsi" w:cstheme="minorHAnsi"/>
          <w:szCs w:val="24"/>
        </w:rPr>
        <w:t>, necesariamente,</w:t>
      </w:r>
      <w:r w:rsidR="00E24BA6" w:rsidRPr="0080490E">
        <w:rPr>
          <w:rFonts w:asciiTheme="minorHAnsi" w:hAnsiTheme="minorHAnsi" w:cstheme="minorHAnsi"/>
          <w:szCs w:val="24"/>
        </w:rPr>
        <w:t xml:space="preserve"> a través de valores negociables, ni la </w:t>
      </w:r>
      <w:r w:rsidR="00DD6180" w:rsidRPr="0080490E">
        <w:rPr>
          <w:rFonts w:asciiTheme="minorHAnsi" w:hAnsiTheme="minorHAnsi" w:cstheme="minorHAnsi"/>
          <w:szCs w:val="24"/>
        </w:rPr>
        <w:t xml:space="preserve">aspiración de </w:t>
      </w:r>
      <w:r w:rsidR="00DD6180" w:rsidRPr="0080490E">
        <w:rPr>
          <w:rFonts w:asciiTheme="minorHAnsi" w:hAnsiTheme="minorHAnsi" w:cstheme="minorHAnsi"/>
          <w:szCs w:val="24"/>
        </w:rPr>
        <w:lastRenderedPageBreak/>
        <w:t xml:space="preserve">lucro resulta exclusiva de </w:t>
      </w:r>
      <w:r w:rsidR="00E24BA6" w:rsidRPr="0080490E">
        <w:rPr>
          <w:rFonts w:asciiTheme="minorHAnsi" w:hAnsiTheme="minorHAnsi" w:cstheme="minorHAnsi"/>
          <w:szCs w:val="24"/>
        </w:rPr>
        <w:t>el</w:t>
      </w:r>
      <w:r w:rsidR="00DD6180" w:rsidRPr="0080490E">
        <w:rPr>
          <w:rFonts w:asciiTheme="minorHAnsi" w:hAnsiTheme="minorHAnsi" w:cstheme="minorHAnsi"/>
          <w:szCs w:val="24"/>
        </w:rPr>
        <w:t xml:space="preserve">los. De ahí que se defienda la </w:t>
      </w:r>
      <w:r w:rsidR="000103CB" w:rsidRPr="0080490E">
        <w:rPr>
          <w:rFonts w:asciiTheme="minorHAnsi" w:hAnsiTheme="minorHAnsi" w:cstheme="minorHAnsi"/>
          <w:szCs w:val="24"/>
        </w:rPr>
        <w:t>validez</w:t>
      </w:r>
      <w:r w:rsidR="00DD6180" w:rsidRPr="0080490E">
        <w:rPr>
          <w:rFonts w:asciiTheme="minorHAnsi" w:hAnsiTheme="minorHAnsi" w:cstheme="minorHAnsi"/>
          <w:szCs w:val="24"/>
        </w:rPr>
        <w:t xml:space="preserve"> y autonomía de la tokenización de préstamo</w:t>
      </w:r>
      <w:r w:rsidR="00B52589" w:rsidRPr="0080490E">
        <w:rPr>
          <w:rFonts w:asciiTheme="minorHAnsi" w:hAnsiTheme="minorHAnsi" w:cstheme="minorHAnsi"/>
          <w:szCs w:val="24"/>
        </w:rPr>
        <w:t>s</w:t>
      </w:r>
      <w:r w:rsidR="00DD6180" w:rsidRPr="0080490E">
        <w:rPr>
          <w:rFonts w:asciiTheme="minorHAnsi" w:hAnsiTheme="minorHAnsi" w:cstheme="minorHAnsi"/>
          <w:szCs w:val="24"/>
        </w:rPr>
        <w:t xml:space="preserve"> participativo</w:t>
      </w:r>
      <w:r w:rsidR="00B52589" w:rsidRPr="0080490E">
        <w:rPr>
          <w:rFonts w:asciiTheme="minorHAnsi" w:hAnsiTheme="minorHAnsi" w:cstheme="minorHAnsi"/>
          <w:szCs w:val="24"/>
        </w:rPr>
        <w:t>s</w:t>
      </w:r>
      <w:r w:rsidR="00DD6180" w:rsidRPr="0080490E">
        <w:rPr>
          <w:rFonts w:asciiTheme="minorHAnsi" w:hAnsiTheme="minorHAnsi" w:cstheme="minorHAnsi"/>
          <w:szCs w:val="24"/>
        </w:rPr>
        <w:t xml:space="preserve"> </w:t>
      </w:r>
      <w:r w:rsidR="00E24BA6" w:rsidRPr="0080490E">
        <w:rPr>
          <w:rFonts w:asciiTheme="minorHAnsi" w:hAnsiTheme="minorHAnsi" w:cstheme="minorHAnsi"/>
          <w:szCs w:val="24"/>
        </w:rPr>
        <w:t xml:space="preserve">o de cuentas en participación </w:t>
      </w:r>
      <w:r w:rsidR="00DD6180" w:rsidRPr="0080490E">
        <w:rPr>
          <w:rFonts w:asciiTheme="minorHAnsi" w:hAnsiTheme="minorHAnsi" w:cstheme="minorHAnsi"/>
          <w:szCs w:val="24"/>
        </w:rPr>
        <w:t>como figura</w:t>
      </w:r>
      <w:r w:rsidR="0094674B" w:rsidRPr="0080490E">
        <w:rPr>
          <w:rFonts w:asciiTheme="minorHAnsi" w:hAnsiTheme="minorHAnsi" w:cstheme="minorHAnsi"/>
          <w:szCs w:val="24"/>
        </w:rPr>
        <w:t>s</w:t>
      </w:r>
      <w:r w:rsidR="00DD6180" w:rsidRPr="0080490E">
        <w:rPr>
          <w:rFonts w:asciiTheme="minorHAnsi" w:hAnsiTheme="minorHAnsi" w:cstheme="minorHAnsi"/>
          <w:szCs w:val="24"/>
        </w:rPr>
        <w:t xml:space="preserve"> </w:t>
      </w:r>
      <w:r w:rsidR="0094674B" w:rsidRPr="0080490E">
        <w:rPr>
          <w:rFonts w:asciiTheme="minorHAnsi" w:hAnsiTheme="minorHAnsi" w:cstheme="minorHAnsi"/>
          <w:szCs w:val="24"/>
        </w:rPr>
        <w:t xml:space="preserve">útiles y </w:t>
      </w:r>
      <w:r w:rsidR="00DD6180" w:rsidRPr="0080490E">
        <w:rPr>
          <w:rFonts w:asciiTheme="minorHAnsi" w:hAnsiTheme="minorHAnsi" w:cstheme="minorHAnsi"/>
          <w:szCs w:val="24"/>
        </w:rPr>
        <w:t>ajena</w:t>
      </w:r>
      <w:r w:rsidR="0094674B" w:rsidRPr="0080490E">
        <w:rPr>
          <w:rFonts w:asciiTheme="minorHAnsi" w:hAnsiTheme="minorHAnsi" w:cstheme="minorHAnsi"/>
          <w:szCs w:val="24"/>
        </w:rPr>
        <w:t>s</w:t>
      </w:r>
      <w:r w:rsidR="00DD6180" w:rsidRPr="0080490E">
        <w:rPr>
          <w:rFonts w:asciiTheme="minorHAnsi" w:hAnsiTheme="minorHAnsi" w:cstheme="minorHAnsi"/>
          <w:szCs w:val="24"/>
        </w:rPr>
        <w:t xml:space="preserve"> a</w:t>
      </w:r>
      <w:r w:rsidR="00022EAE" w:rsidRPr="0080490E">
        <w:rPr>
          <w:rFonts w:asciiTheme="minorHAnsi" w:hAnsiTheme="minorHAnsi" w:cstheme="minorHAnsi"/>
          <w:szCs w:val="24"/>
        </w:rPr>
        <w:t xml:space="preserve"> </w:t>
      </w:r>
      <w:r w:rsidR="00DD6180" w:rsidRPr="0080490E">
        <w:rPr>
          <w:rFonts w:asciiTheme="minorHAnsi" w:hAnsiTheme="minorHAnsi" w:cstheme="minorHAnsi"/>
          <w:szCs w:val="24"/>
        </w:rPr>
        <w:t>l</w:t>
      </w:r>
      <w:r w:rsidR="00022EAE" w:rsidRPr="0080490E">
        <w:rPr>
          <w:rFonts w:asciiTheme="minorHAnsi" w:hAnsiTheme="minorHAnsi" w:cstheme="minorHAnsi"/>
          <w:szCs w:val="24"/>
        </w:rPr>
        <w:t xml:space="preserve">a </w:t>
      </w:r>
      <w:r w:rsidR="00DD6180" w:rsidRPr="0080490E">
        <w:rPr>
          <w:rFonts w:asciiTheme="minorHAnsi" w:hAnsiTheme="minorHAnsi" w:cstheme="minorHAnsi"/>
          <w:szCs w:val="24"/>
        </w:rPr>
        <w:t>supervisión de la CNMV.</w:t>
      </w:r>
    </w:p>
    <w:p w14:paraId="0A00C199" w14:textId="73C86D99" w:rsidR="00D349B0" w:rsidRPr="0080490E" w:rsidRDefault="00DD6180"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Si </w:t>
      </w:r>
      <w:r w:rsidR="00C3105F" w:rsidRPr="0080490E">
        <w:rPr>
          <w:rFonts w:asciiTheme="minorHAnsi" w:hAnsiTheme="minorHAnsi" w:cstheme="minorHAnsi"/>
          <w:szCs w:val="24"/>
        </w:rPr>
        <w:t>estos</w:t>
      </w:r>
      <w:r w:rsidRPr="0080490E">
        <w:rPr>
          <w:rFonts w:asciiTheme="minorHAnsi" w:hAnsiTheme="minorHAnsi" w:cstheme="minorHAnsi"/>
          <w:szCs w:val="24"/>
        </w:rPr>
        <w:t xml:space="preserve"> contratos </w:t>
      </w:r>
      <w:r w:rsidR="001A557D" w:rsidRPr="0080490E">
        <w:rPr>
          <w:rFonts w:asciiTheme="minorHAnsi" w:hAnsiTheme="minorHAnsi" w:cstheme="minorHAnsi"/>
          <w:szCs w:val="24"/>
        </w:rPr>
        <w:t>resultan</w:t>
      </w:r>
      <w:r w:rsidRPr="0080490E">
        <w:rPr>
          <w:rFonts w:asciiTheme="minorHAnsi" w:hAnsiTheme="minorHAnsi" w:cstheme="minorHAnsi"/>
          <w:szCs w:val="24"/>
        </w:rPr>
        <w:t xml:space="preserve"> ajenos a los valores </w:t>
      </w:r>
      <w:r w:rsidR="0033303F" w:rsidRPr="0080490E">
        <w:rPr>
          <w:rFonts w:asciiTheme="minorHAnsi" w:hAnsiTheme="minorHAnsi" w:cstheme="minorHAnsi"/>
          <w:szCs w:val="24"/>
        </w:rPr>
        <w:t>negociable</w:t>
      </w:r>
      <w:r w:rsidRPr="0080490E">
        <w:rPr>
          <w:rFonts w:asciiTheme="minorHAnsi" w:hAnsiTheme="minorHAnsi" w:cstheme="minorHAnsi"/>
          <w:szCs w:val="24"/>
        </w:rPr>
        <w:t xml:space="preserve">s, también tienen que quedar al margen </w:t>
      </w:r>
      <w:r w:rsidR="00C3105F" w:rsidRPr="0080490E">
        <w:rPr>
          <w:rFonts w:asciiTheme="minorHAnsi" w:hAnsiTheme="minorHAnsi" w:cstheme="minorHAnsi"/>
          <w:szCs w:val="24"/>
        </w:rPr>
        <w:t xml:space="preserve">de ellos </w:t>
      </w:r>
      <w:r w:rsidRPr="0080490E">
        <w:rPr>
          <w:rFonts w:asciiTheme="minorHAnsi" w:hAnsiTheme="minorHAnsi" w:cstheme="minorHAnsi"/>
          <w:szCs w:val="24"/>
        </w:rPr>
        <w:t xml:space="preserve">sus representaciones tokenizadas. </w:t>
      </w:r>
      <w:r w:rsidR="008C5EBC" w:rsidRPr="0080490E">
        <w:rPr>
          <w:rFonts w:asciiTheme="minorHAnsi" w:hAnsiTheme="minorHAnsi" w:cstheme="minorHAnsi"/>
          <w:szCs w:val="24"/>
        </w:rPr>
        <w:t>Conforme a</w:t>
      </w:r>
      <w:r w:rsidRPr="0080490E">
        <w:rPr>
          <w:rFonts w:asciiTheme="minorHAnsi" w:hAnsiTheme="minorHAnsi" w:cstheme="minorHAnsi"/>
          <w:szCs w:val="24"/>
        </w:rPr>
        <w:t>l principio de neutralidad tecnológica</w:t>
      </w:r>
      <w:r w:rsidR="001A557D" w:rsidRPr="0080490E">
        <w:rPr>
          <w:rFonts w:asciiTheme="minorHAnsi" w:hAnsiTheme="minorHAnsi" w:cstheme="minorHAnsi"/>
          <w:szCs w:val="24"/>
        </w:rPr>
        <w:t>,</w:t>
      </w:r>
      <w:r w:rsidRPr="0080490E">
        <w:rPr>
          <w:rFonts w:asciiTheme="minorHAnsi" w:hAnsiTheme="minorHAnsi" w:cstheme="minorHAnsi"/>
          <w:szCs w:val="24"/>
        </w:rPr>
        <w:t xml:space="preserve"> </w:t>
      </w:r>
      <w:r w:rsidR="008C5EBC" w:rsidRPr="0080490E">
        <w:rPr>
          <w:rFonts w:asciiTheme="minorHAnsi" w:hAnsiTheme="minorHAnsi" w:cstheme="minorHAnsi"/>
          <w:szCs w:val="24"/>
        </w:rPr>
        <w:t>la</w:t>
      </w:r>
      <w:r w:rsidRPr="0080490E">
        <w:rPr>
          <w:rFonts w:asciiTheme="minorHAnsi" w:hAnsiTheme="minorHAnsi" w:cstheme="minorHAnsi"/>
          <w:szCs w:val="24"/>
        </w:rPr>
        <w:t xml:space="preserve"> regulación no debe favorecer ni discriminar a ninguna tecnología en particular. </w:t>
      </w:r>
      <w:r w:rsidR="001A557D" w:rsidRPr="0080490E">
        <w:rPr>
          <w:rFonts w:asciiTheme="minorHAnsi" w:hAnsiTheme="minorHAnsi" w:cstheme="minorHAnsi"/>
          <w:szCs w:val="24"/>
        </w:rPr>
        <w:t>Si e</w:t>
      </w:r>
      <w:r w:rsidR="00D349B0" w:rsidRPr="0080490E">
        <w:rPr>
          <w:rFonts w:asciiTheme="minorHAnsi" w:hAnsiTheme="minorHAnsi" w:cstheme="minorHAnsi"/>
          <w:szCs w:val="24"/>
        </w:rPr>
        <w:t>l sistema jurídico digital se rige por la equivalencia funcional</w:t>
      </w:r>
      <w:r w:rsidR="001A557D" w:rsidRPr="0080490E">
        <w:rPr>
          <w:rFonts w:asciiTheme="minorHAnsi" w:hAnsiTheme="minorHAnsi" w:cstheme="minorHAnsi"/>
          <w:szCs w:val="24"/>
        </w:rPr>
        <w:t>,</w:t>
      </w:r>
      <w:r w:rsidR="00D349B0" w:rsidRPr="0080490E">
        <w:rPr>
          <w:rFonts w:asciiTheme="minorHAnsi" w:hAnsiTheme="minorHAnsi" w:cstheme="minorHAnsi"/>
          <w:szCs w:val="24"/>
        </w:rPr>
        <w:t xml:space="preserve"> la utilización de cadenas de bloques para la inversión inmobiliaria no tiene que suponer la sumisión de estas operaciones a un régimen normativo distinto del que </w:t>
      </w:r>
      <w:r w:rsidR="00C3105F" w:rsidRPr="0080490E">
        <w:rPr>
          <w:rFonts w:asciiTheme="minorHAnsi" w:hAnsiTheme="minorHAnsi" w:cstheme="minorHAnsi"/>
          <w:szCs w:val="24"/>
        </w:rPr>
        <w:t xml:space="preserve">las </w:t>
      </w:r>
      <w:r w:rsidR="00D349B0" w:rsidRPr="0080490E">
        <w:rPr>
          <w:rFonts w:asciiTheme="minorHAnsi" w:hAnsiTheme="minorHAnsi" w:cstheme="minorHAnsi"/>
          <w:szCs w:val="24"/>
        </w:rPr>
        <w:t xml:space="preserve">hubiera </w:t>
      </w:r>
      <w:r w:rsidR="00C3105F" w:rsidRPr="0080490E">
        <w:rPr>
          <w:rFonts w:asciiTheme="minorHAnsi" w:hAnsiTheme="minorHAnsi" w:cstheme="minorHAnsi"/>
          <w:szCs w:val="24"/>
        </w:rPr>
        <w:t>regido</w:t>
      </w:r>
      <w:r w:rsidR="00D349B0" w:rsidRPr="0080490E">
        <w:rPr>
          <w:rFonts w:asciiTheme="minorHAnsi" w:hAnsiTheme="minorHAnsi" w:cstheme="minorHAnsi"/>
          <w:szCs w:val="24"/>
        </w:rPr>
        <w:t xml:space="preserve"> de no ser empleada esta tecnología.</w:t>
      </w:r>
    </w:p>
    <w:p w14:paraId="321DBCDF" w14:textId="759F2102" w:rsidR="00497215" w:rsidRPr="0080490E" w:rsidRDefault="00DD6180"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Desde esta óptica</w:t>
      </w:r>
      <w:r w:rsidR="00AD7E2A" w:rsidRPr="0080490E">
        <w:rPr>
          <w:rFonts w:asciiTheme="minorHAnsi" w:hAnsiTheme="minorHAnsi" w:cstheme="minorHAnsi"/>
          <w:szCs w:val="24"/>
        </w:rPr>
        <w:t>,</w:t>
      </w:r>
      <w:r w:rsidRPr="0080490E">
        <w:rPr>
          <w:rFonts w:asciiTheme="minorHAnsi" w:hAnsiTheme="minorHAnsi" w:cstheme="minorHAnsi"/>
          <w:szCs w:val="24"/>
        </w:rPr>
        <w:t xml:space="preserve"> la </w:t>
      </w:r>
      <w:r w:rsidR="007E7ED7" w:rsidRPr="0080490E">
        <w:rPr>
          <w:rFonts w:asciiTheme="minorHAnsi" w:hAnsiTheme="minorHAnsi" w:cstheme="minorHAnsi"/>
          <w:szCs w:val="24"/>
        </w:rPr>
        <w:t>asimilación</w:t>
      </w:r>
      <w:r w:rsidRPr="0080490E">
        <w:rPr>
          <w:rFonts w:asciiTheme="minorHAnsi" w:hAnsiTheme="minorHAnsi" w:cstheme="minorHAnsi"/>
          <w:szCs w:val="24"/>
        </w:rPr>
        <w:t xml:space="preserve"> de</w:t>
      </w:r>
      <w:r w:rsidR="0007405D" w:rsidRPr="0080490E">
        <w:rPr>
          <w:rFonts w:asciiTheme="minorHAnsi" w:hAnsiTheme="minorHAnsi" w:cstheme="minorHAnsi"/>
          <w:szCs w:val="24"/>
        </w:rPr>
        <w:t xml:space="preserve"> los</w:t>
      </w:r>
      <w:r w:rsidRPr="0080490E">
        <w:rPr>
          <w:rFonts w:asciiTheme="minorHAnsi" w:hAnsiTheme="minorHAnsi" w:cstheme="minorHAnsi"/>
          <w:szCs w:val="24"/>
        </w:rPr>
        <w:t xml:space="preserve"> </w:t>
      </w:r>
      <w:proofErr w:type="spellStart"/>
      <w:r w:rsidR="008C5EBC" w:rsidRPr="0080490E">
        <w:rPr>
          <w:rFonts w:asciiTheme="minorHAnsi" w:hAnsiTheme="minorHAnsi" w:cstheme="minorHAnsi"/>
          <w:i/>
          <w:iCs/>
          <w:szCs w:val="24"/>
        </w:rPr>
        <w:t>security</w:t>
      </w:r>
      <w:proofErr w:type="spellEnd"/>
      <w:r w:rsidR="008C5EBC" w:rsidRPr="0080490E">
        <w:rPr>
          <w:rFonts w:asciiTheme="minorHAnsi" w:hAnsiTheme="minorHAnsi" w:cstheme="minorHAnsi"/>
          <w:i/>
          <w:iCs/>
          <w:szCs w:val="24"/>
        </w:rPr>
        <w:t xml:space="preserve"> </w:t>
      </w:r>
      <w:r w:rsidRPr="0080490E">
        <w:rPr>
          <w:rFonts w:asciiTheme="minorHAnsi" w:hAnsiTheme="minorHAnsi" w:cstheme="minorHAnsi"/>
          <w:i/>
          <w:iCs/>
          <w:szCs w:val="24"/>
        </w:rPr>
        <w:t>token</w:t>
      </w:r>
      <w:r w:rsidR="0007405D" w:rsidRPr="0080490E">
        <w:rPr>
          <w:rFonts w:asciiTheme="minorHAnsi" w:hAnsiTheme="minorHAnsi" w:cstheme="minorHAnsi"/>
          <w:i/>
          <w:iCs/>
          <w:szCs w:val="24"/>
        </w:rPr>
        <w:t>s</w:t>
      </w:r>
      <w:r w:rsidR="0007405D" w:rsidRPr="0080490E">
        <w:rPr>
          <w:rFonts w:asciiTheme="minorHAnsi" w:hAnsiTheme="minorHAnsi" w:cstheme="minorHAnsi"/>
          <w:szCs w:val="24"/>
        </w:rPr>
        <w:t xml:space="preserve"> </w:t>
      </w:r>
      <w:r w:rsidRPr="0080490E">
        <w:rPr>
          <w:rFonts w:asciiTheme="minorHAnsi" w:hAnsiTheme="minorHAnsi" w:cstheme="minorHAnsi"/>
          <w:szCs w:val="24"/>
        </w:rPr>
        <w:t xml:space="preserve">y </w:t>
      </w:r>
      <w:r w:rsidR="0007405D" w:rsidRPr="0080490E">
        <w:rPr>
          <w:rFonts w:asciiTheme="minorHAnsi" w:hAnsiTheme="minorHAnsi" w:cstheme="minorHAnsi"/>
          <w:szCs w:val="24"/>
        </w:rPr>
        <w:t xml:space="preserve">los </w:t>
      </w:r>
      <w:r w:rsidRPr="0080490E">
        <w:rPr>
          <w:rFonts w:asciiTheme="minorHAnsi" w:hAnsiTheme="minorHAnsi" w:cstheme="minorHAnsi"/>
          <w:szCs w:val="24"/>
        </w:rPr>
        <w:t>valor</w:t>
      </w:r>
      <w:r w:rsidR="0007405D" w:rsidRPr="0080490E">
        <w:rPr>
          <w:rFonts w:asciiTheme="minorHAnsi" w:hAnsiTheme="minorHAnsi" w:cstheme="minorHAnsi"/>
          <w:szCs w:val="24"/>
        </w:rPr>
        <w:t>es</w:t>
      </w:r>
      <w:r w:rsidRPr="0080490E">
        <w:rPr>
          <w:rFonts w:asciiTheme="minorHAnsi" w:hAnsiTheme="minorHAnsi" w:cstheme="minorHAnsi"/>
          <w:szCs w:val="24"/>
        </w:rPr>
        <w:t xml:space="preserve"> </w:t>
      </w:r>
      <w:r w:rsidR="0033303F" w:rsidRPr="0080490E">
        <w:rPr>
          <w:rFonts w:asciiTheme="minorHAnsi" w:hAnsiTheme="minorHAnsi" w:cstheme="minorHAnsi"/>
          <w:szCs w:val="24"/>
        </w:rPr>
        <w:t>negociable</w:t>
      </w:r>
      <w:r w:rsidR="0007405D" w:rsidRPr="0080490E">
        <w:rPr>
          <w:rFonts w:asciiTheme="minorHAnsi" w:hAnsiTheme="minorHAnsi" w:cstheme="minorHAnsi"/>
          <w:szCs w:val="24"/>
        </w:rPr>
        <w:t>s</w:t>
      </w:r>
      <w:r w:rsidRPr="0080490E">
        <w:rPr>
          <w:rFonts w:asciiTheme="minorHAnsi" w:hAnsiTheme="minorHAnsi" w:cstheme="minorHAnsi"/>
          <w:szCs w:val="24"/>
        </w:rPr>
        <w:t xml:space="preserve"> resulta </w:t>
      </w:r>
      <w:r w:rsidR="004630D0" w:rsidRPr="0080490E">
        <w:rPr>
          <w:rFonts w:asciiTheme="minorHAnsi" w:hAnsiTheme="minorHAnsi" w:cstheme="minorHAnsi"/>
          <w:szCs w:val="24"/>
        </w:rPr>
        <w:t>desenfocada</w:t>
      </w:r>
      <w:r w:rsidRPr="0080490E">
        <w:rPr>
          <w:rFonts w:asciiTheme="minorHAnsi" w:hAnsiTheme="minorHAnsi" w:cstheme="minorHAnsi"/>
          <w:szCs w:val="24"/>
        </w:rPr>
        <w:t xml:space="preserve">. Una cosa es que </w:t>
      </w:r>
      <w:r w:rsidR="004630D0" w:rsidRPr="0080490E">
        <w:rPr>
          <w:rFonts w:asciiTheme="minorHAnsi" w:hAnsiTheme="minorHAnsi" w:cstheme="minorHAnsi"/>
          <w:szCs w:val="24"/>
        </w:rPr>
        <w:t>ciertos</w:t>
      </w:r>
      <w:r w:rsidRPr="0080490E">
        <w:rPr>
          <w:rFonts w:asciiTheme="minorHAnsi" w:hAnsiTheme="minorHAnsi" w:cstheme="minorHAnsi"/>
          <w:szCs w:val="24"/>
        </w:rPr>
        <w:t xml:space="preserve"> token</w:t>
      </w:r>
      <w:r w:rsidR="004630D0" w:rsidRPr="0080490E">
        <w:rPr>
          <w:rFonts w:asciiTheme="minorHAnsi" w:hAnsiTheme="minorHAnsi" w:cstheme="minorHAnsi"/>
          <w:szCs w:val="24"/>
        </w:rPr>
        <w:t>s</w:t>
      </w:r>
      <w:r w:rsidRPr="0080490E">
        <w:rPr>
          <w:rFonts w:asciiTheme="minorHAnsi" w:hAnsiTheme="minorHAnsi" w:cstheme="minorHAnsi"/>
          <w:szCs w:val="24"/>
        </w:rPr>
        <w:t xml:space="preserve"> pueda</w:t>
      </w:r>
      <w:r w:rsidR="004630D0" w:rsidRPr="0080490E">
        <w:rPr>
          <w:rFonts w:asciiTheme="minorHAnsi" w:hAnsiTheme="minorHAnsi" w:cstheme="minorHAnsi"/>
          <w:szCs w:val="24"/>
        </w:rPr>
        <w:t>n</w:t>
      </w:r>
      <w:r w:rsidRPr="0080490E">
        <w:rPr>
          <w:rFonts w:asciiTheme="minorHAnsi" w:hAnsiTheme="minorHAnsi" w:cstheme="minorHAnsi"/>
          <w:szCs w:val="24"/>
        </w:rPr>
        <w:t xml:space="preserve"> tener la consideración de valor </w:t>
      </w:r>
      <w:r w:rsidR="0033303F" w:rsidRPr="0080490E">
        <w:rPr>
          <w:rFonts w:asciiTheme="minorHAnsi" w:hAnsiTheme="minorHAnsi" w:cstheme="minorHAnsi"/>
          <w:szCs w:val="24"/>
        </w:rPr>
        <w:t>negociable</w:t>
      </w:r>
      <w:r w:rsidRPr="0080490E">
        <w:rPr>
          <w:rFonts w:asciiTheme="minorHAnsi" w:hAnsiTheme="minorHAnsi" w:cstheme="minorHAnsi"/>
          <w:szCs w:val="24"/>
        </w:rPr>
        <w:t xml:space="preserve"> y otra que haya </w:t>
      </w:r>
      <w:r w:rsidR="003C13DD" w:rsidRPr="0080490E">
        <w:rPr>
          <w:rFonts w:asciiTheme="minorHAnsi" w:hAnsiTheme="minorHAnsi" w:cstheme="minorHAnsi"/>
          <w:szCs w:val="24"/>
        </w:rPr>
        <w:t xml:space="preserve">una </w:t>
      </w:r>
      <w:r w:rsidRPr="0080490E">
        <w:rPr>
          <w:rFonts w:asciiTheme="minorHAnsi" w:hAnsiTheme="minorHAnsi" w:cstheme="minorHAnsi"/>
          <w:szCs w:val="24"/>
        </w:rPr>
        <w:t xml:space="preserve">equiparación </w:t>
      </w:r>
      <w:r w:rsidR="0007405D" w:rsidRPr="0080490E">
        <w:rPr>
          <w:rFonts w:asciiTheme="minorHAnsi" w:hAnsiTheme="minorHAnsi" w:cstheme="minorHAnsi"/>
          <w:szCs w:val="24"/>
        </w:rPr>
        <w:t>absoluta</w:t>
      </w:r>
      <w:r w:rsidRPr="0080490E">
        <w:rPr>
          <w:rFonts w:asciiTheme="minorHAnsi" w:hAnsiTheme="minorHAnsi" w:cstheme="minorHAnsi"/>
          <w:szCs w:val="24"/>
        </w:rPr>
        <w:t>. Todo dependerá de la función representativa y la configuración interna que el emisor haya dado al token.</w:t>
      </w:r>
      <w:r w:rsidR="00C4700C" w:rsidRPr="0080490E">
        <w:rPr>
          <w:rFonts w:asciiTheme="minorHAnsi" w:hAnsiTheme="minorHAnsi" w:cstheme="minorHAnsi"/>
          <w:szCs w:val="24"/>
        </w:rPr>
        <w:t xml:space="preserve"> Así lo reconoce la propia CNMV al señalar que «la clasificación legal de los criptoactivos como instrumentos financieros dependerá de las características concretas y derechos derivados del criptoactivo en cuestión, con independencia de la tecnología en la que se sustente. Por ello, para determinar si un criptoactivo debe considerarse un valor negociable u otro tipo de instrumento financiero, debe realizarse un análisis caso por caso de sus características y de los derechos otorgados, abstrayéndose del envoltorio tecnológico del producto»</w:t>
      </w:r>
      <w:bookmarkStart w:id="41" w:name="_Hlk172473152"/>
      <w:r w:rsidR="00C4700C" w:rsidRPr="0080490E">
        <w:rPr>
          <w:rStyle w:val="Refdenotaalpie"/>
          <w:rFonts w:asciiTheme="minorHAnsi" w:hAnsiTheme="minorHAnsi" w:cstheme="minorHAnsi"/>
          <w:szCs w:val="24"/>
        </w:rPr>
        <w:footnoteReference w:id="67"/>
      </w:r>
      <w:bookmarkEnd w:id="41"/>
      <w:r w:rsidR="00C4700C" w:rsidRPr="0080490E">
        <w:rPr>
          <w:rFonts w:asciiTheme="minorHAnsi" w:hAnsiTheme="minorHAnsi" w:cstheme="minorHAnsi"/>
          <w:szCs w:val="24"/>
        </w:rPr>
        <w:t>.</w:t>
      </w:r>
    </w:p>
    <w:p w14:paraId="2D1B91DB" w14:textId="7479E89F" w:rsidR="00C409B3" w:rsidRPr="0080490E" w:rsidRDefault="00B742ED"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Los instrumentos financieros y los valores </w:t>
      </w:r>
      <w:r w:rsidR="0033303F" w:rsidRPr="0080490E">
        <w:rPr>
          <w:rFonts w:asciiTheme="minorHAnsi" w:hAnsiTheme="minorHAnsi" w:cstheme="minorHAnsi"/>
          <w:szCs w:val="24"/>
        </w:rPr>
        <w:t>negociable</w:t>
      </w:r>
      <w:r w:rsidRPr="0080490E">
        <w:rPr>
          <w:rFonts w:asciiTheme="minorHAnsi" w:hAnsiTheme="minorHAnsi" w:cstheme="minorHAnsi"/>
          <w:szCs w:val="24"/>
        </w:rPr>
        <w:t>s presentan una relación de género y especie. L</w:t>
      </w:r>
      <w:r w:rsidR="003B0E30" w:rsidRPr="0080490E">
        <w:rPr>
          <w:rFonts w:asciiTheme="minorHAnsi" w:hAnsiTheme="minorHAnsi" w:cstheme="minorHAnsi"/>
          <w:szCs w:val="24"/>
        </w:rPr>
        <w:t xml:space="preserve">a Directiva </w:t>
      </w:r>
      <w:proofErr w:type="spellStart"/>
      <w:r w:rsidR="003B0E30" w:rsidRPr="0080490E">
        <w:rPr>
          <w:rFonts w:asciiTheme="minorHAnsi" w:hAnsiTheme="minorHAnsi" w:cstheme="minorHAnsi"/>
          <w:szCs w:val="24"/>
        </w:rPr>
        <w:t>MiFID</w:t>
      </w:r>
      <w:proofErr w:type="spellEnd"/>
      <w:r w:rsidR="003B0E30" w:rsidRPr="0080490E">
        <w:rPr>
          <w:rFonts w:asciiTheme="minorHAnsi" w:hAnsiTheme="minorHAnsi" w:cstheme="minorHAnsi"/>
          <w:szCs w:val="24"/>
        </w:rPr>
        <w:t xml:space="preserve"> II no </w:t>
      </w:r>
      <w:r w:rsidRPr="0080490E">
        <w:rPr>
          <w:rFonts w:asciiTheme="minorHAnsi" w:hAnsiTheme="minorHAnsi" w:cstheme="minorHAnsi"/>
          <w:szCs w:val="24"/>
        </w:rPr>
        <w:t xml:space="preserve">cuenta con </w:t>
      </w:r>
      <w:r w:rsidR="003B0E30" w:rsidRPr="0080490E">
        <w:rPr>
          <w:rFonts w:asciiTheme="minorHAnsi" w:hAnsiTheme="minorHAnsi" w:cstheme="minorHAnsi"/>
          <w:szCs w:val="24"/>
        </w:rPr>
        <w:t xml:space="preserve">un concepto de instrumento </w:t>
      </w:r>
      <w:r w:rsidR="005D51ED" w:rsidRPr="0080490E">
        <w:rPr>
          <w:rFonts w:asciiTheme="minorHAnsi" w:hAnsiTheme="minorHAnsi" w:cstheme="minorHAnsi"/>
          <w:szCs w:val="24"/>
        </w:rPr>
        <w:t>financiero</w:t>
      </w:r>
      <w:r w:rsidR="003B0E30" w:rsidRPr="0080490E">
        <w:rPr>
          <w:rFonts w:asciiTheme="minorHAnsi" w:hAnsiTheme="minorHAnsi" w:cstheme="minorHAnsi"/>
          <w:szCs w:val="24"/>
        </w:rPr>
        <w:t xml:space="preserve"> </w:t>
      </w:r>
      <w:r w:rsidRPr="0080490E">
        <w:rPr>
          <w:rFonts w:asciiTheme="minorHAnsi" w:hAnsiTheme="minorHAnsi" w:cstheme="minorHAnsi"/>
          <w:szCs w:val="24"/>
        </w:rPr>
        <w:t>pero sí</w:t>
      </w:r>
      <w:r w:rsidR="003B0E30" w:rsidRPr="0080490E">
        <w:rPr>
          <w:rFonts w:asciiTheme="minorHAnsi" w:hAnsiTheme="minorHAnsi" w:cstheme="minorHAnsi"/>
          <w:szCs w:val="24"/>
        </w:rPr>
        <w:t xml:space="preserve"> una enumeración en la Sección C del Anexo I que incluye, en primer lugar, los valores </w:t>
      </w:r>
      <w:r w:rsidR="0033303F" w:rsidRPr="0080490E">
        <w:rPr>
          <w:rFonts w:asciiTheme="minorHAnsi" w:hAnsiTheme="minorHAnsi" w:cstheme="minorHAnsi"/>
          <w:szCs w:val="24"/>
        </w:rPr>
        <w:t>negociable</w:t>
      </w:r>
      <w:r w:rsidR="003B0E30" w:rsidRPr="0080490E">
        <w:rPr>
          <w:rFonts w:asciiTheme="minorHAnsi" w:hAnsiTheme="minorHAnsi" w:cstheme="minorHAnsi"/>
          <w:szCs w:val="24"/>
        </w:rPr>
        <w:t xml:space="preserve">s. </w:t>
      </w:r>
      <w:r w:rsidR="00482005" w:rsidRPr="0080490E">
        <w:rPr>
          <w:rFonts w:asciiTheme="minorHAnsi" w:hAnsiTheme="minorHAnsi" w:cstheme="minorHAnsi"/>
          <w:szCs w:val="24"/>
        </w:rPr>
        <w:t>Estos, s</w:t>
      </w:r>
      <w:r w:rsidR="003B0E30" w:rsidRPr="0080490E">
        <w:rPr>
          <w:rFonts w:asciiTheme="minorHAnsi" w:hAnsiTheme="minorHAnsi" w:cstheme="minorHAnsi"/>
          <w:szCs w:val="24"/>
        </w:rPr>
        <w:t>egún su definición</w:t>
      </w:r>
      <w:r w:rsidR="00482005" w:rsidRPr="0080490E">
        <w:rPr>
          <w:rFonts w:asciiTheme="minorHAnsi" w:hAnsiTheme="minorHAnsi" w:cstheme="minorHAnsi"/>
          <w:szCs w:val="24"/>
        </w:rPr>
        <w:t>,</w:t>
      </w:r>
      <w:r w:rsidR="003B0E30" w:rsidRPr="0080490E">
        <w:rPr>
          <w:rFonts w:asciiTheme="minorHAnsi" w:hAnsiTheme="minorHAnsi" w:cstheme="minorHAnsi"/>
          <w:szCs w:val="24"/>
        </w:rPr>
        <w:t xml:space="preserve"> engloban «categorías de valores que son negociables en el mercado de capitales, con excepción de los instrumentos de pago» (</w:t>
      </w:r>
      <w:r w:rsidR="00430C68" w:rsidRPr="0080490E">
        <w:rPr>
          <w:rFonts w:asciiTheme="minorHAnsi" w:hAnsiTheme="minorHAnsi" w:cstheme="minorHAnsi"/>
          <w:szCs w:val="24"/>
        </w:rPr>
        <w:t>art.</w:t>
      </w:r>
      <w:r w:rsidR="003B0E30" w:rsidRPr="0080490E">
        <w:rPr>
          <w:rFonts w:asciiTheme="minorHAnsi" w:hAnsiTheme="minorHAnsi" w:cstheme="minorHAnsi"/>
          <w:szCs w:val="24"/>
        </w:rPr>
        <w:t xml:space="preserve"> 4.1.44 </w:t>
      </w:r>
      <w:proofErr w:type="spellStart"/>
      <w:r w:rsidR="003B0E30" w:rsidRPr="0080490E">
        <w:rPr>
          <w:rFonts w:asciiTheme="minorHAnsi" w:hAnsiTheme="minorHAnsi" w:cstheme="minorHAnsi"/>
          <w:szCs w:val="24"/>
        </w:rPr>
        <w:t>MiFID</w:t>
      </w:r>
      <w:proofErr w:type="spellEnd"/>
      <w:r w:rsidR="003B0E30" w:rsidRPr="0080490E">
        <w:rPr>
          <w:rFonts w:asciiTheme="minorHAnsi" w:hAnsiTheme="minorHAnsi" w:cstheme="minorHAnsi"/>
          <w:szCs w:val="24"/>
        </w:rPr>
        <w:t xml:space="preserve"> II). La legislación española tampoco define </w:t>
      </w:r>
      <w:r w:rsidR="00925082" w:rsidRPr="0080490E">
        <w:rPr>
          <w:rFonts w:asciiTheme="minorHAnsi" w:hAnsiTheme="minorHAnsi" w:cstheme="minorHAnsi"/>
          <w:szCs w:val="24"/>
        </w:rPr>
        <w:t xml:space="preserve">los </w:t>
      </w:r>
      <w:r w:rsidR="003B0E30" w:rsidRPr="0080490E">
        <w:rPr>
          <w:rFonts w:asciiTheme="minorHAnsi" w:hAnsiTheme="minorHAnsi" w:cstheme="minorHAnsi"/>
          <w:szCs w:val="24"/>
        </w:rPr>
        <w:t>instrumento</w:t>
      </w:r>
      <w:r w:rsidR="00925082" w:rsidRPr="0080490E">
        <w:rPr>
          <w:rFonts w:asciiTheme="minorHAnsi" w:hAnsiTheme="minorHAnsi" w:cstheme="minorHAnsi"/>
          <w:szCs w:val="24"/>
        </w:rPr>
        <w:t>s</w:t>
      </w:r>
      <w:r w:rsidR="003B0E30" w:rsidRPr="0080490E">
        <w:rPr>
          <w:rFonts w:asciiTheme="minorHAnsi" w:hAnsiTheme="minorHAnsi" w:cstheme="minorHAnsi"/>
          <w:szCs w:val="24"/>
        </w:rPr>
        <w:t xml:space="preserve"> financiero</w:t>
      </w:r>
      <w:r w:rsidR="00925082" w:rsidRPr="0080490E">
        <w:rPr>
          <w:rFonts w:asciiTheme="minorHAnsi" w:hAnsiTheme="minorHAnsi" w:cstheme="minorHAnsi"/>
          <w:szCs w:val="24"/>
        </w:rPr>
        <w:t>s</w:t>
      </w:r>
      <w:r w:rsidR="003B0E30" w:rsidRPr="0080490E">
        <w:rPr>
          <w:rFonts w:asciiTheme="minorHAnsi" w:hAnsiTheme="minorHAnsi" w:cstheme="minorHAnsi"/>
          <w:szCs w:val="24"/>
        </w:rPr>
        <w:t>.</w:t>
      </w:r>
      <w:r w:rsidR="003F0EA5" w:rsidRPr="0080490E">
        <w:rPr>
          <w:rFonts w:asciiTheme="minorHAnsi" w:hAnsiTheme="minorHAnsi" w:cstheme="minorHAnsi"/>
          <w:szCs w:val="24"/>
        </w:rPr>
        <w:t xml:space="preserve"> </w:t>
      </w:r>
      <w:r w:rsidR="00941E60" w:rsidRPr="0080490E">
        <w:rPr>
          <w:rFonts w:asciiTheme="minorHAnsi" w:hAnsiTheme="minorHAnsi" w:cstheme="minorHAnsi"/>
          <w:szCs w:val="24"/>
        </w:rPr>
        <w:t>No obstante, s</w:t>
      </w:r>
      <w:r w:rsidR="003B0E30" w:rsidRPr="0080490E">
        <w:rPr>
          <w:rFonts w:asciiTheme="minorHAnsi" w:hAnsiTheme="minorHAnsi" w:cstheme="minorHAnsi"/>
          <w:szCs w:val="24"/>
        </w:rPr>
        <w:t>egún el</w:t>
      </w:r>
      <w:r w:rsidR="00497215" w:rsidRPr="0080490E">
        <w:rPr>
          <w:rFonts w:asciiTheme="minorHAnsi" w:hAnsiTheme="minorHAnsi" w:cstheme="minorHAnsi"/>
          <w:szCs w:val="24"/>
        </w:rPr>
        <w:t xml:space="preserve"> artículo 2</w:t>
      </w:r>
      <w:r w:rsidR="003B0E30" w:rsidRPr="0080490E">
        <w:rPr>
          <w:rFonts w:asciiTheme="minorHAnsi" w:hAnsiTheme="minorHAnsi" w:cstheme="minorHAnsi"/>
          <w:szCs w:val="24"/>
        </w:rPr>
        <w:t>.1</w:t>
      </w:r>
      <w:r w:rsidR="00497215" w:rsidRPr="0080490E">
        <w:rPr>
          <w:rFonts w:asciiTheme="minorHAnsi" w:hAnsiTheme="minorHAnsi" w:cstheme="minorHAnsi"/>
          <w:szCs w:val="24"/>
        </w:rPr>
        <w:t xml:space="preserve"> TRLMV</w:t>
      </w:r>
      <w:r w:rsidR="003B0E30" w:rsidRPr="0080490E">
        <w:rPr>
          <w:rFonts w:asciiTheme="minorHAnsi" w:hAnsiTheme="minorHAnsi" w:cstheme="minorHAnsi"/>
          <w:szCs w:val="24"/>
        </w:rPr>
        <w:t xml:space="preserve"> </w:t>
      </w:r>
      <w:r w:rsidR="008C5EBC" w:rsidRPr="0080490E">
        <w:rPr>
          <w:rFonts w:asciiTheme="minorHAnsi" w:hAnsiTheme="minorHAnsi" w:cstheme="minorHAnsi"/>
          <w:szCs w:val="24"/>
        </w:rPr>
        <w:t xml:space="preserve">vigente hasta su derogación </w:t>
      </w:r>
      <w:r w:rsidR="003F0EA5" w:rsidRPr="0080490E">
        <w:rPr>
          <w:rFonts w:asciiTheme="minorHAnsi" w:hAnsiTheme="minorHAnsi" w:cstheme="minorHAnsi"/>
          <w:szCs w:val="24"/>
        </w:rPr>
        <w:t>por la Ley 6/2023</w:t>
      </w:r>
      <w:r w:rsidR="00D44CD9" w:rsidRPr="0080490E">
        <w:rPr>
          <w:rFonts w:asciiTheme="minorHAnsi" w:hAnsiTheme="minorHAnsi" w:cstheme="minorHAnsi"/>
          <w:szCs w:val="24"/>
        </w:rPr>
        <w:t xml:space="preserve"> </w:t>
      </w:r>
      <w:r w:rsidR="003B0E30" w:rsidRPr="0080490E">
        <w:rPr>
          <w:rFonts w:asciiTheme="minorHAnsi" w:hAnsiTheme="minorHAnsi" w:cstheme="minorHAnsi"/>
          <w:szCs w:val="24"/>
        </w:rPr>
        <w:t>«quedan comprendidos en el ámbito de esta ley los instrumentos financieros recogidos en su Anexo». En dicho Anexo se presenta</w:t>
      </w:r>
      <w:r w:rsidR="00925082" w:rsidRPr="0080490E">
        <w:rPr>
          <w:rFonts w:asciiTheme="minorHAnsi" w:hAnsiTheme="minorHAnsi" w:cstheme="minorHAnsi"/>
          <w:szCs w:val="24"/>
        </w:rPr>
        <w:t>ba</w:t>
      </w:r>
      <w:r w:rsidR="003B0E30" w:rsidRPr="0080490E">
        <w:rPr>
          <w:rFonts w:asciiTheme="minorHAnsi" w:hAnsiTheme="minorHAnsi" w:cstheme="minorHAnsi"/>
          <w:szCs w:val="24"/>
        </w:rPr>
        <w:t xml:space="preserve"> una relación </w:t>
      </w:r>
      <w:r w:rsidR="003B0E30" w:rsidRPr="0080490E">
        <w:rPr>
          <w:rFonts w:asciiTheme="minorHAnsi" w:hAnsiTheme="minorHAnsi" w:cstheme="minorHAnsi"/>
          <w:i/>
          <w:szCs w:val="24"/>
        </w:rPr>
        <w:t xml:space="preserve">numerus </w:t>
      </w:r>
      <w:proofErr w:type="spellStart"/>
      <w:r w:rsidR="003B0E30" w:rsidRPr="0080490E">
        <w:rPr>
          <w:rFonts w:asciiTheme="minorHAnsi" w:hAnsiTheme="minorHAnsi" w:cstheme="minorHAnsi"/>
          <w:i/>
          <w:szCs w:val="24"/>
        </w:rPr>
        <w:t>apertus</w:t>
      </w:r>
      <w:proofErr w:type="spellEnd"/>
      <w:r w:rsidR="003B0E30" w:rsidRPr="0080490E">
        <w:rPr>
          <w:rFonts w:asciiTheme="minorHAnsi" w:hAnsiTheme="minorHAnsi" w:cstheme="minorHAnsi"/>
          <w:i/>
          <w:szCs w:val="24"/>
        </w:rPr>
        <w:t xml:space="preserve"> </w:t>
      </w:r>
      <w:r w:rsidR="003B0E30" w:rsidRPr="0080490E">
        <w:rPr>
          <w:rFonts w:asciiTheme="minorHAnsi" w:hAnsiTheme="minorHAnsi" w:cstheme="minorHAnsi"/>
          <w:szCs w:val="24"/>
        </w:rPr>
        <w:t>de los instrumentos financieros. En esta enumeración</w:t>
      </w:r>
      <w:r w:rsidR="00941E60" w:rsidRPr="0080490E">
        <w:rPr>
          <w:rFonts w:asciiTheme="minorHAnsi" w:hAnsiTheme="minorHAnsi" w:cstheme="minorHAnsi"/>
          <w:szCs w:val="24"/>
        </w:rPr>
        <w:t xml:space="preserve"> destacan</w:t>
      </w:r>
      <w:r w:rsidR="003B0E30" w:rsidRPr="0080490E">
        <w:rPr>
          <w:rFonts w:asciiTheme="minorHAnsi" w:hAnsiTheme="minorHAnsi" w:cstheme="minorHAnsi"/>
          <w:szCs w:val="24"/>
        </w:rPr>
        <w:t xml:space="preserve"> los valores </w:t>
      </w:r>
      <w:r w:rsidR="0033303F" w:rsidRPr="0080490E">
        <w:rPr>
          <w:rFonts w:asciiTheme="minorHAnsi" w:hAnsiTheme="minorHAnsi" w:cstheme="minorHAnsi"/>
          <w:szCs w:val="24"/>
        </w:rPr>
        <w:t>negociable</w:t>
      </w:r>
      <w:r w:rsidR="003B0E30" w:rsidRPr="0080490E">
        <w:rPr>
          <w:rFonts w:asciiTheme="minorHAnsi" w:hAnsiTheme="minorHAnsi" w:cstheme="minorHAnsi"/>
          <w:szCs w:val="24"/>
        </w:rPr>
        <w:t xml:space="preserve">s </w:t>
      </w:r>
      <w:r w:rsidR="00941E60" w:rsidRPr="0080490E">
        <w:rPr>
          <w:rFonts w:asciiTheme="minorHAnsi" w:hAnsiTheme="minorHAnsi" w:cstheme="minorHAnsi"/>
          <w:szCs w:val="24"/>
        </w:rPr>
        <w:t xml:space="preserve">que </w:t>
      </w:r>
      <w:r w:rsidR="000A2259" w:rsidRPr="0080490E">
        <w:rPr>
          <w:rFonts w:asciiTheme="minorHAnsi" w:hAnsiTheme="minorHAnsi" w:cstheme="minorHAnsi"/>
          <w:szCs w:val="24"/>
        </w:rPr>
        <w:t>eran</w:t>
      </w:r>
      <w:r w:rsidR="003B0E30" w:rsidRPr="0080490E">
        <w:rPr>
          <w:rFonts w:asciiTheme="minorHAnsi" w:hAnsiTheme="minorHAnsi" w:cstheme="minorHAnsi"/>
          <w:szCs w:val="24"/>
        </w:rPr>
        <w:t xml:space="preserve"> descritos de manera abierta como «cualquier derecho de contenido patrimonial, cualquiera que sea su denominación, que por su configuración jurídica propia y ré</w:t>
      </w:r>
      <w:r w:rsidR="003B0E30" w:rsidRPr="0080490E">
        <w:rPr>
          <w:rFonts w:asciiTheme="minorHAnsi" w:hAnsiTheme="minorHAnsi" w:cstheme="minorHAnsi"/>
          <w:szCs w:val="24"/>
        </w:rPr>
        <w:lastRenderedPageBreak/>
        <w:t>gimen de transmisión, sea susceptible de tráfico generalizado e impersonal en un mercado financiero»</w:t>
      </w:r>
      <w:r w:rsidR="003F0EA5" w:rsidRPr="0080490E">
        <w:rPr>
          <w:rStyle w:val="Refdenotaalpie"/>
          <w:rFonts w:asciiTheme="minorHAnsi" w:hAnsiTheme="minorHAnsi" w:cstheme="minorHAnsi"/>
          <w:szCs w:val="24"/>
        </w:rPr>
        <w:footnoteReference w:id="68"/>
      </w:r>
      <w:r w:rsidR="003B0E30" w:rsidRPr="0080490E">
        <w:rPr>
          <w:rFonts w:asciiTheme="minorHAnsi" w:hAnsiTheme="minorHAnsi" w:cstheme="minorHAnsi"/>
          <w:szCs w:val="24"/>
        </w:rPr>
        <w:t>.</w:t>
      </w:r>
      <w:r w:rsidR="003F0EA5" w:rsidRPr="0080490E">
        <w:rPr>
          <w:rFonts w:asciiTheme="minorHAnsi" w:hAnsiTheme="minorHAnsi" w:cstheme="minorHAnsi"/>
          <w:szCs w:val="24"/>
        </w:rPr>
        <w:t xml:space="preserve"> </w:t>
      </w:r>
      <w:r w:rsidR="00AD7E2A" w:rsidRPr="0080490E">
        <w:rPr>
          <w:rFonts w:asciiTheme="minorHAnsi" w:hAnsiTheme="minorHAnsi" w:cstheme="minorHAnsi"/>
          <w:szCs w:val="24"/>
        </w:rPr>
        <w:t>En definitiva, todo instrumento que represent</w:t>
      </w:r>
      <w:r w:rsidR="003F0EA5" w:rsidRPr="0080490E">
        <w:rPr>
          <w:rFonts w:asciiTheme="minorHAnsi" w:hAnsiTheme="minorHAnsi" w:cstheme="minorHAnsi"/>
          <w:szCs w:val="24"/>
        </w:rPr>
        <w:t>e</w:t>
      </w:r>
      <w:r w:rsidR="00AD7E2A" w:rsidRPr="0080490E">
        <w:rPr>
          <w:rFonts w:asciiTheme="minorHAnsi" w:hAnsiTheme="minorHAnsi" w:cstheme="minorHAnsi"/>
          <w:szCs w:val="24"/>
        </w:rPr>
        <w:t xml:space="preserve"> un derecho de contenido patrimonial</w:t>
      </w:r>
      <w:r w:rsidR="00720DFA" w:rsidRPr="0080490E">
        <w:rPr>
          <w:rFonts w:asciiTheme="minorHAnsi" w:hAnsiTheme="minorHAnsi" w:cstheme="minorHAnsi"/>
          <w:szCs w:val="24"/>
        </w:rPr>
        <w:t xml:space="preserve"> </w:t>
      </w:r>
      <w:r w:rsidR="00AD7E2A" w:rsidRPr="0080490E">
        <w:rPr>
          <w:rFonts w:asciiTheme="minorHAnsi" w:hAnsiTheme="minorHAnsi" w:cstheme="minorHAnsi"/>
          <w:szCs w:val="24"/>
        </w:rPr>
        <w:t xml:space="preserve">susceptible de transmisión en un mercado financiero </w:t>
      </w:r>
      <w:r w:rsidR="00720DFA" w:rsidRPr="0080490E">
        <w:rPr>
          <w:rFonts w:asciiTheme="minorHAnsi" w:hAnsiTheme="minorHAnsi" w:cstheme="minorHAnsi"/>
          <w:szCs w:val="24"/>
        </w:rPr>
        <w:t>es</w:t>
      </w:r>
      <w:r w:rsidR="00AD7E2A" w:rsidRPr="0080490E">
        <w:rPr>
          <w:rFonts w:asciiTheme="minorHAnsi" w:hAnsiTheme="minorHAnsi" w:cstheme="minorHAnsi"/>
          <w:szCs w:val="24"/>
        </w:rPr>
        <w:t xml:space="preserve"> calificado como un valor negociable, salvo que la legislación lo </w:t>
      </w:r>
      <w:r w:rsidR="00720DFA" w:rsidRPr="0080490E">
        <w:rPr>
          <w:rFonts w:asciiTheme="minorHAnsi" w:hAnsiTheme="minorHAnsi" w:cstheme="minorHAnsi"/>
          <w:szCs w:val="24"/>
        </w:rPr>
        <w:t>haya</w:t>
      </w:r>
      <w:r w:rsidR="00AD7E2A" w:rsidRPr="0080490E">
        <w:rPr>
          <w:rFonts w:asciiTheme="minorHAnsi" w:hAnsiTheme="minorHAnsi" w:cstheme="minorHAnsi"/>
          <w:szCs w:val="24"/>
        </w:rPr>
        <w:t xml:space="preserve"> excluido expresamente como e</w:t>
      </w:r>
      <w:r w:rsidR="003E294E" w:rsidRPr="0080490E">
        <w:rPr>
          <w:rFonts w:asciiTheme="minorHAnsi" w:hAnsiTheme="minorHAnsi" w:cstheme="minorHAnsi"/>
          <w:szCs w:val="24"/>
        </w:rPr>
        <w:t>s</w:t>
      </w:r>
      <w:r w:rsidR="00AD7E2A" w:rsidRPr="0080490E">
        <w:rPr>
          <w:rFonts w:asciiTheme="minorHAnsi" w:hAnsiTheme="minorHAnsi" w:cstheme="minorHAnsi"/>
          <w:szCs w:val="24"/>
        </w:rPr>
        <w:t xml:space="preserve"> el caso de los instrumentos de pago.</w:t>
      </w:r>
    </w:p>
    <w:p w14:paraId="026614C5" w14:textId="51FEF2FC" w:rsidR="00041447" w:rsidRPr="0080490E" w:rsidRDefault="00C409B3"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Por su parte, </w:t>
      </w:r>
      <w:r w:rsidR="00041447" w:rsidRPr="0080490E">
        <w:rPr>
          <w:rFonts w:asciiTheme="minorHAnsi" w:hAnsiTheme="minorHAnsi" w:cstheme="minorHAnsi"/>
          <w:smallCaps/>
          <w:szCs w:val="24"/>
        </w:rPr>
        <w:t>Sánchez Gil</w:t>
      </w:r>
      <w:r w:rsidR="00041447" w:rsidRPr="0080490E">
        <w:rPr>
          <w:rFonts w:asciiTheme="minorHAnsi" w:hAnsiTheme="minorHAnsi" w:cstheme="minorHAnsi"/>
          <w:szCs w:val="24"/>
        </w:rPr>
        <w:t xml:space="preserve"> </w:t>
      </w:r>
      <w:r w:rsidR="009F4B9F" w:rsidRPr="0080490E">
        <w:rPr>
          <w:rFonts w:asciiTheme="minorHAnsi" w:hAnsiTheme="minorHAnsi" w:cstheme="minorHAnsi"/>
          <w:szCs w:val="24"/>
        </w:rPr>
        <w:t>apunta</w:t>
      </w:r>
      <w:r w:rsidR="002D23DE" w:rsidRPr="0080490E">
        <w:rPr>
          <w:rFonts w:asciiTheme="minorHAnsi" w:hAnsiTheme="minorHAnsi" w:cstheme="minorHAnsi"/>
          <w:szCs w:val="24"/>
        </w:rPr>
        <w:t xml:space="preserve"> que</w:t>
      </w:r>
      <w:r w:rsidR="009F4B9F" w:rsidRPr="0080490E">
        <w:rPr>
          <w:rFonts w:asciiTheme="minorHAnsi" w:hAnsiTheme="minorHAnsi" w:cstheme="minorHAnsi"/>
          <w:szCs w:val="24"/>
        </w:rPr>
        <w:t xml:space="preserve"> </w:t>
      </w:r>
      <w:r w:rsidR="00FF53C3" w:rsidRPr="0080490E">
        <w:rPr>
          <w:rFonts w:asciiTheme="minorHAnsi" w:hAnsiTheme="minorHAnsi" w:cstheme="minorHAnsi"/>
          <w:szCs w:val="24"/>
        </w:rPr>
        <w:t xml:space="preserve">para que un instrumento sea considerado un valor negociable </w:t>
      </w:r>
      <w:r w:rsidR="003F0EA5" w:rsidRPr="0080490E">
        <w:rPr>
          <w:rFonts w:asciiTheme="minorHAnsi" w:hAnsiTheme="minorHAnsi" w:cstheme="minorHAnsi"/>
          <w:szCs w:val="24"/>
        </w:rPr>
        <w:t>basta</w:t>
      </w:r>
      <w:r w:rsidR="00041447" w:rsidRPr="0080490E">
        <w:rPr>
          <w:rFonts w:asciiTheme="minorHAnsi" w:hAnsiTheme="minorHAnsi" w:cstheme="minorHAnsi"/>
          <w:szCs w:val="24"/>
        </w:rPr>
        <w:t xml:space="preserve"> </w:t>
      </w:r>
      <w:r w:rsidR="00FF53C3" w:rsidRPr="0080490E">
        <w:rPr>
          <w:rFonts w:asciiTheme="minorHAnsi" w:hAnsiTheme="minorHAnsi" w:cstheme="minorHAnsi"/>
          <w:szCs w:val="24"/>
        </w:rPr>
        <w:t>su</w:t>
      </w:r>
      <w:r w:rsidR="00041447" w:rsidRPr="0080490E">
        <w:rPr>
          <w:rFonts w:asciiTheme="minorHAnsi" w:hAnsiTheme="minorHAnsi" w:cstheme="minorHAnsi"/>
          <w:szCs w:val="24"/>
        </w:rPr>
        <w:t xml:space="preserve"> idoneidad </w:t>
      </w:r>
      <w:r w:rsidR="00B742ED" w:rsidRPr="0080490E">
        <w:rPr>
          <w:rFonts w:asciiTheme="minorHAnsi" w:hAnsiTheme="minorHAnsi" w:cstheme="minorHAnsi"/>
          <w:szCs w:val="24"/>
        </w:rPr>
        <w:t xml:space="preserve">abstracta </w:t>
      </w:r>
      <w:r w:rsidR="00041447" w:rsidRPr="0080490E">
        <w:rPr>
          <w:rFonts w:asciiTheme="minorHAnsi" w:hAnsiTheme="minorHAnsi" w:cstheme="minorHAnsi"/>
          <w:szCs w:val="24"/>
        </w:rPr>
        <w:t xml:space="preserve">para ser negociable, </w:t>
      </w:r>
      <w:r w:rsidR="00FF53C3" w:rsidRPr="0080490E">
        <w:rPr>
          <w:rFonts w:asciiTheme="minorHAnsi" w:hAnsiTheme="minorHAnsi" w:cstheme="minorHAnsi"/>
          <w:szCs w:val="24"/>
        </w:rPr>
        <w:t>sin necesidad de que sea</w:t>
      </w:r>
      <w:r w:rsidRPr="0080490E">
        <w:rPr>
          <w:rFonts w:asciiTheme="minorHAnsi" w:hAnsiTheme="minorHAnsi" w:cstheme="minorHAnsi"/>
          <w:szCs w:val="24"/>
        </w:rPr>
        <w:t xml:space="preserve">, </w:t>
      </w:r>
      <w:r w:rsidRPr="0080490E">
        <w:rPr>
          <w:rFonts w:asciiTheme="minorHAnsi" w:hAnsiTheme="minorHAnsi" w:cstheme="minorHAnsi"/>
          <w:i/>
          <w:iCs/>
          <w:szCs w:val="24"/>
        </w:rPr>
        <w:t>de facto</w:t>
      </w:r>
      <w:r w:rsidRPr="0080490E">
        <w:rPr>
          <w:rFonts w:asciiTheme="minorHAnsi" w:hAnsiTheme="minorHAnsi" w:cstheme="minorHAnsi"/>
          <w:szCs w:val="24"/>
        </w:rPr>
        <w:t>,</w:t>
      </w:r>
      <w:r w:rsidR="00FF53C3" w:rsidRPr="0080490E">
        <w:rPr>
          <w:rFonts w:asciiTheme="minorHAnsi" w:hAnsiTheme="minorHAnsi" w:cstheme="minorHAnsi"/>
          <w:szCs w:val="24"/>
        </w:rPr>
        <w:t xml:space="preserve"> </w:t>
      </w:r>
      <w:r w:rsidR="00041447" w:rsidRPr="0080490E">
        <w:rPr>
          <w:rFonts w:asciiTheme="minorHAnsi" w:hAnsiTheme="minorHAnsi" w:cstheme="minorHAnsi"/>
          <w:szCs w:val="24"/>
        </w:rPr>
        <w:t>objeto de negociación</w:t>
      </w:r>
      <w:r w:rsidR="003F0EA5" w:rsidRPr="0080490E">
        <w:rPr>
          <w:rFonts w:asciiTheme="minorHAnsi" w:hAnsiTheme="minorHAnsi" w:cstheme="minorHAnsi"/>
          <w:szCs w:val="24"/>
        </w:rPr>
        <w:t xml:space="preserve">. </w:t>
      </w:r>
      <w:r w:rsidR="00900294" w:rsidRPr="0080490E">
        <w:rPr>
          <w:rFonts w:asciiTheme="minorHAnsi" w:hAnsiTheme="minorHAnsi" w:cstheme="minorHAnsi"/>
          <w:szCs w:val="24"/>
        </w:rPr>
        <w:t>Además</w:t>
      </w:r>
      <w:r w:rsidR="003F0EA5" w:rsidRPr="0080490E">
        <w:rPr>
          <w:rFonts w:asciiTheme="minorHAnsi" w:hAnsiTheme="minorHAnsi" w:cstheme="minorHAnsi"/>
          <w:szCs w:val="24"/>
        </w:rPr>
        <w:t>,</w:t>
      </w:r>
      <w:r w:rsidR="00041447" w:rsidRPr="0080490E">
        <w:rPr>
          <w:rFonts w:asciiTheme="minorHAnsi" w:hAnsiTheme="minorHAnsi" w:cstheme="minorHAnsi"/>
          <w:szCs w:val="24"/>
        </w:rPr>
        <w:t xml:space="preserve"> </w:t>
      </w:r>
      <w:r w:rsidR="00B97574" w:rsidRPr="0080490E">
        <w:rPr>
          <w:rFonts w:asciiTheme="minorHAnsi" w:hAnsiTheme="minorHAnsi" w:cstheme="minorHAnsi"/>
          <w:szCs w:val="24"/>
        </w:rPr>
        <w:t>tampoco</w:t>
      </w:r>
      <w:r w:rsidR="00041447" w:rsidRPr="0080490E">
        <w:rPr>
          <w:rFonts w:asciiTheme="minorHAnsi" w:hAnsiTheme="minorHAnsi" w:cstheme="minorHAnsi"/>
          <w:szCs w:val="24"/>
        </w:rPr>
        <w:t xml:space="preserve"> es necesario que </w:t>
      </w:r>
      <w:r w:rsidRPr="0080490E">
        <w:rPr>
          <w:rFonts w:asciiTheme="minorHAnsi" w:hAnsiTheme="minorHAnsi" w:cstheme="minorHAnsi"/>
          <w:szCs w:val="24"/>
        </w:rPr>
        <w:t xml:space="preserve">el mercado </w:t>
      </w:r>
      <w:r w:rsidR="00041447" w:rsidRPr="0080490E">
        <w:rPr>
          <w:rFonts w:asciiTheme="minorHAnsi" w:hAnsiTheme="minorHAnsi" w:cstheme="minorHAnsi"/>
          <w:szCs w:val="24"/>
        </w:rPr>
        <w:t>se</w:t>
      </w:r>
      <w:r w:rsidRPr="0080490E">
        <w:rPr>
          <w:rFonts w:asciiTheme="minorHAnsi" w:hAnsiTheme="minorHAnsi" w:cstheme="minorHAnsi"/>
          <w:szCs w:val="24"/>
        </w:rPr>
        <w:t>a</w:t>
      </w:r>
      <w:r w:rsidR="00B97574" w:rsidRPr="0080490E">
        <w:rPr>
          <w:rFonts w:asciiTheme="minorHAnsi" w:hAnsiTheme="minorHAnsi" w:cstheme="minorHAnsi"/>
          <w:szCs w:val="24"/>
        </w:rPr>
        <w:t xml:space="preserve"> </w:t>
      </w:r>
      <w:r w:rsidR="00041447" w:rsidRPr="0080490E">
        <w:rPr>
          <w:rFonts w:asciiTheme="minorHAnsi" w:hAnsiTheme="minorHAnsi" w:cstheme="minorHAnsi"/>
          <w:szCs w:val="24"/>
        </w:rPr>
        <w:t>uno de los sistemas multilaterales regulados, bastando cualquier</w:t>
      </w:r>
      <w:r w:rsidR="00B97574" w:rsidRPr="0080490E">
        <w:rPr>
          <w:rFonts w:asciiTheme="minorHAnsi" w:hAnsiTheme="minorHAnsi" w:cstheme="minorHAnsi"/>
          <w:szCs w:val="24"/>
        </w:rPr>
        <w:t>a</w:t>
      </w:r>
      <w:r w:rsidR="00041447" w:rsidRPr="0080490E">
        <w:rPr>
          <w:rFonts w:asciiTheme="minorHAnsi" w:hAnsiTheme="minorHAnsi" w:cstheme="minorHAnsi"/>
          <w:szCs w:val="24"/>
        </w:rPr>
        <w:t xml:space="preserve"> en el que se reúnan los intereses de compra y venta </w:t>
      </w:r>
      <w:r w:rsidR="00B97574" w:rsidRPr="0080490E">
        <w:rPr>
          <w:rFonts w:asciiTheme="minorHAnsi" w:hAnsiTheme="minorHAnsi" w:cstheme="minorHAnsi"/>
          <w:szCs w:val="24"/>
        </w:rPr>
        <w:t>de</w:t>
      </w:r>
      <w:r w:rsidR="00041447" w:rsidRPr="0080490E">
        <w:rPr>
          <w:rFonts w:asciiTheme="minorHAnsi" w:hAnsiTheme="minorHAnsi" w:cstheme="minorHAnsi"/>
          <w:szCs w:val="24"/>
        </w:rPr>
        <w:t xml:space="preserve"> valores</w:t>
      </w:r>
      <w:r w:rsidR="00041447" w:rsidRPr="0080490E">
        <w:rPr>
          <w:rStyle w:val="Refdenotaalpie"/>
          <w:rFonts w:asciiTheme="minorHAnsi" w:hAnsiTheme="minorHAnsi" w:cstheme="minorHAnsi"/>
          <w:szCs w:val="24"/>
        </w:rPr>
        <w:footnoteReference w:id="69"/>
      </w:r>
      <w:r w:rsidR="00041447" w:rsidRPr="0080490E">
        <w:rPr>
          <w:rFonts w:asciiTheme="minorHAnsi" w:hAnsiTheme="minorHAnsi" w:cstheme="minorHAnsi"/>
          <w:szCs w:val="24"/>
        </w:rPr>
        <w:t>.</w:t>
      </w:r>
    </w:p>
    <w:p w14:paraId="3877BDD6" w14:textId="1F924CFD" w:rsidR="00BE76A8" w:rsidRPr="0080490E" w:rsidRDefault="00B742ED"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En la medida en que los </w:t>
      </w:r>
      <w:proofErr w:type="spellStart"/>
      <w:r w:rsidRPr="0080490E">
        <w:rPr>
          <w:rFonts w:asciiTheme="minorHAnsi" w:hAnsiTheme="minorHAnsi" w:cstheme="minorHAnsi"/>
          <w:i/>
          <w:iCs/>
          <w:szCs w:val="24"/>
        </w:rPr>
        <w:t>security</w:t>
      </w:r>
      <w:proofErr w:type="spellEnd"/>
      <w:r w:rsidRPr="0080490E">
        <w:rPr>
          <w:rFonts w:asciiTheme="minorHAnsi" w:hAnsiTheme="minorHAnsi" w:cstheme="minorHAnsi"/>
          <w:i/>
          <w:iCs/>
          <w:szCs w:val="24"/>
        </w:rPr>
        <w:t xml:space="preserve"> tokens</w:t>
      </w:r>
      <w:r w:rsidRPr="0080490E">
        <w:rPr>
          <w:rFonts w:asciiTheme="minorHAnsi" w:hAnsiTheme="minorHAnsi" w:cstheme="minorHAnsi"/>
          <w:szCs w:val="24"/>
        </w:rPr>
        <w:t xml:space="preserve"> tienen contenido patrimonial, revisten una inversión </w:t>
      </w:r>
      <w:r w:rsidR="00720DFA" w:rsidRPr="0080490E">
        <w:rPr>
          <w:rFonts w:asciiTheme="minorHAnsi" w:hAnsiTheme="minorHAnsi" w:cstheme="minorHAnsi"/>
          <w:szCs w:val="24"/>
        </w:rPr>
        <w:t xml:space="preserve">económica </w:t>
      </w:r>
      <w:r w:rsidRPr="0080490E">
        <w:rPr>
          <w:rFonts w:asciiTheme="minorHAnsi" w:hAnsiTheme="minorHAnsi" w:cstheme="minorHAnsi"/>
          <w:szCs w:val="24"/>
        </w:rPr>
        <w:t>y son susceptibles de transmisión se</w:t>
      </w:r>
      <w:r w:rsidR="002654DC" w:rsidRPr="0080490E">
        <w:rPr>
          <w:rFonts w:asciiTheme="minorHAnsi" w:hAnsiTheme="minorHAnsi" w:cstheme="minorHAnsi"/>
          <w:szCs w:val="24"/>
        </w:rPr>
        <w:t xml:space="preserve"> podría</w:t>
      </w:r>
      <w:r w:rsidRPr="0080490E">
        <w:rPr>
          <w:rFonts w:asciiTheme="minorHAnsi" w:hAnsiTheme="minorHAnsi" w:cstheme="minorHAnsi"/>
          <w:szCs w:val="24"/>
        </w:rPr>
        <w:t>n</w:t>
      </w:r>
      <w:r w:rsidR="002654DC" w:rsidRPr="0080490E">
        <w:rPr>
          <w:rFonts w:asciiTheme="minorHAnsi" w:hAnsiTheme="minorHAnsi" w:cstheme="minorHAnsi"/>
          <w:szCs w:val="24"/>
        </w:rPr>
        <w:t xml:space="preserve"> considerar formalmente incluidos entre los valores </w:t>
      </w:r>
      <w:r w:rsidR="0033303F" w:rsidRPr="0080490E">
        <w:rPr>
          <w:rFonts w:asciiTheme="minorHAnsi" w:hAnsiTheme="minorHAnsi" w:cstheme="minorHAnsi"/>
          <w:szCs w:val="24"/>
        </w:rPr>
        <w:t>negociable</w:t>
      </w:r>
      <w:r w:rsidR="002654DC" w:rsidRPr="0080490E">
        <w:rPr>
          <w:rFonts w:asciiTheme="minorHAnsi" w:hAnsiTheme="minorHAnsi" w:cstheme="minorHAnsi"/>
          <w:szCs w:val="24"/>
        </w:rPr>
        <w:t>s y</w:t>
      </w:r>
      <w:r w:rsidRPr="0080490E">
        <w:rPr>
          <w:rFonts w:asciiTheme="minorHAnsi" w:hAnsiTheme="minorHAnsi" w:cstheme="minorHAnsi"/>
          <w:szCs w:val="24"/>
        </w:rPr>
        <w:t>, por ende,</w:t>
      </w:r>
      <w:r w:rsidR="002654DC" w:rsidRPr="0080490E">
        <w:rPr>
          <w:rFonts w:asciiTheme="minorHAnsi" w:hAnsiTheme="minorHAnsi" w:cstheme="minorHAnsi"/>
          <w:szCs w:val="24"/>
        </w:rPr>
        <w:t xml:space="preserve"> sometidos a la legislación específica del mercado de valores</w:t>
      </w:r>
      <w:r w:rsidR="002654DC" w:rsidRPr="0080490E">
        <w:rPr>
          <w:rStyle w:val="Refdenotaalpie"/>
          <w:rFonts w:asciiTheme="minorHAnsi" w:hAnsiTheme="minorHAnsi" w:cstheme="minorHAnsi"/>
          <w:szCs w:val="24"/>
        </w:rPr>
        <w:footnoteReference w:id="70"/>
      </w:r>
      <w:r w:rsidR="002654DC" w:rsidRPr="0080490E">
        <w:rPr>
          <w:rFonts w:asciiTheme="minorHAnsi" w:hAnsiTheme="minorHAnsi" w:cstheme="minorHAnsi"/>
          <w:szCs w:val="24"/>
        </w:rPr>
        <w:t>.</w:t>
      </w:r>
      <w:r w:rsidR="00BF5F0E" w:rsidRPr="0080490E">
        <w:rPr>
          <w:rFonts w:asciiTheme="minorHAnsi" w:hAnsiTheme="minorHAnsi" w:cstheme="minorHAnsi"/>
          <w:szCs w:val="24"/>
        </w:rPr>
        <w:t xml:space="preserve"> Si para ser valor negocia</w:t>
      </w:r>
      <w:r w:rsidR="004F4732" w:rsidRPr="0080490E">
        <w:rPr>
          <w:rFonts w:asciiTheme="minorHAnsi" w:hAnsiTheme="minorHAnsi" w:cstheme="minorHAnsi"/>
          <w:szCs w:val="24"/>
        </w:rPr>
        <w:t>ble</w:t>
      </w:r>
      <w:r w:rsidR="00BF5F0E" w:rsidRPr="0080490E">
        <w:rPr>
          <w:rFonts w:asciiTheme="minorHAnsi" w:hAnsiTheme="minorHAnsi" w:cstheme="minorHAnsi"/>
          <w:szCs w:val="24"/>
        </w:rPr>
        <w:t xml:space="preserve"> no es necesario que los instrumentos se negocien en </w:t>
      </w:r>
      <w:r w:rsidR="00C409B3" w:rsidRPr="0080490E">
        <w:rPr>
          <w:rFonts w:asciiTheme="minorHAnsi" w:hAnsiTheme="minorHAnsi" w:cstheme="minorHAnsi"/>
          <w:szCs w:val="24"/>
        </w:rPr>
        <w:t xml:space="preserve">un </w:t>
      </w:r>
      <w:r w:rsidR="00BF5F0E" w:rsidRPr="0080490E">
        <w:rPr>
          <w:rFonts w:asciiTheme="minorHAnsi" w:hAnsiTheme="minorHAnsi" w:cstheme="minorHAnsi"/>
          <w:szCs w:val="24"/>
        </w:rPr>
        <w:t xml:space="preserve">mercado concreto, se podría aceptar </w:t>
      </w:r>
      <w:r w:rsidR="00C409B3" w:rsidRPr="0080490E">
        <w:rPr>
          <w:rFonts w:asciiTheme="minorHAnsi" w:hAnsiTheme="minorHAnsi" w:cstheme="minorHAnsi"/>
          <w:szCs w:val="24"/>
        </w:rPr>
        <w:t xml:space="preserve">que </w:t>
      </w:r>
      <w:r w:rsidR="00BF5F0E" w:rsidRPr="0080490E">
        <w:rPr>
          <w:rFonts w:asciiTheme="minorHAnsi" w:hAnsiTheme="minorHAnsi" w:cstheme="minorHAnsi"/>
          <w:szCs w:val="24"/>
        </w:rPr>
        <w:t xml:space="preserve">las cadenas de bloques </w:t>
      </w:r>
      <w:r w:rsidR="00C409B3" w:rsidRPr="0080490E">
        <w:rPr>
          <w:rFonts w:asciiTheme="minorHAnsi" w:hAnsiTheme="minorHAnsi" w:cstheme="minorHAnsi"/>
          <w:szCs w:val="24"/>
        </w:rPr>
        <w:t>son</w:t>
      </w:r>
      <w:r w:rsidR="00BF5F0E" w:rsidRPr="0080490E">
        <w:rPr>
          <w:rFonts w:asciiTheme="minorHAnsi" w:hAnsiTheme="minorHAnsi" w:cstheme="minorHAnsi"/>
          <w:szCs w:val="24"/>
        </w:rPr>
        <w:t xml:space="preserve"> mercados de </w:t>
      </w:r>
      <w:r w:rsidR="00224439" w:rsidRPr="0080490E">
        <w:rPr>
          <w:rFonts w:asciiTheme="minorHAnsi" w:hAnsiTheme="minorHAnsi" w:cstheme="minorHAnsi"/>
          <w:szCs w:val="24"/>
        </w:rPr>
        <w:t>valores</w:t>
      </w:r>
      <w:r w:rsidR="00BF5F0E" w:rsidRPr="0080490E">
        <w:rPr>
          <w:rFonts w:asciiTheme="minorHAnsi" w:hAnsiTheme="minorHAnsi" w:cstheme="minorHAnsi"/>
          <w:szCs w:val="24"/>
        </w:rPr>
        <w:t xml:space="preserve">, ya que permiten </w:t>
      </w:r>
      <w:r w:rsidR="004F4732" w:rsidRPr="0080490E">
        <w:rPr>
          <w:rFonts w:asciiTheme="minorHAnsi" w:hAnsiTheme="minorHAnsi" w:cstheme="minorHAnsi"/>
          <w:szCs w:val="24"/>
        </w:rPr>
        <w:t>la</w:t>
      </w:r>
      <w:r w:rsidR="00BF5F0E" w:rsidRPr="0080490E">
        <w:rPr>
          <w:rFonts w:asciiTheme="minorHAnsi" w:hAnsiTheme="minorHAnsi" w:cstheme="minorHAnsi"/>
          <w:szCs w:val="24"/>
        </w:rPr>
        <w:t xml:space="preserve"> transmisión de los tokens.</w:t>
      </w:r>
      <w:r w:rsidR="004F4732" w:rsidRPr="0080490E">
        <w:rPr>
          <w:rFonts w:asciiTheme="minorHAnsi" w:hAnsiTheme="minorHAnsi" w:cstheme="minorHAnsi"/>
          <w:szCs w:val="24"/>
        </w:rPr>
        <w:t xml:space="preserve"> </w:t>
      </w:r>
      <w:r w:rsidR="009F4B9F" w:rsidRPr="0080490E">
        <w:rPr>
          <w:rFonts w:asciiTheme="minorHAnsi" w:hAnsiTheme="minorHAnsi" w:cstheme="minorHAnsi"/>
          <w:szCs w:val="24"/>
        </w:rPr>
        <w:t xml:space="preserve">Sin embargo, que los tokens sean transmisibles no implica que puedan ser transmitidos de manera equivalente a como lo es un valor </w:t>
      </w:r>
      <w:r w:rsidR="0033303F" w:rsidRPr="0080490E">
        <w:rPr>
          <w:rFonts w:asciiTheme="minorHAnsi" w:hAnsiTheme="minorHAnsi" w:cstheme="minorHAnsi"/>
          <w:szCs w:val="24"/>
        </w:rPr>
        <w:t>negociable</w:t>
      </w:r>
      <w:r w:rsidR="009F4B9F" w:rsidRPr="0080490E">
        <w:rPr>
          <w:rFonts w:asciiTheme="minorHAnsi" w:hAnsiTheme="minorHAnsi" w:cstheme="minorHAnsi"/>
          <w:szCs w:val="24"/>
        </w:rPr>
        <w:t>.</w:t>
      </w:r>
      <w:r w:rsidR="00BF5F0E" w:rsidRPr="0080490E">
        <w:rPr>
          <w:rFonts w:asciiTheme="minorHAnsi" w:hAnsiTheme="minorHAnsi" w:cstheme="minorHAnsi"/>
          <w:szCs w:val="24"/>
        </w:rPr>
        <w:t xml:space="preserve"> </w:t>
      </w:r>
      <w:r w:rsidR="00C857A8" w:rsidRPr="0080490E">
        <w:rPr>
          <w:rFonts w:asciiTheme="minorHAnsi" w:hAnsiTheme="minorHAnsi" w:cstheme="minorHAnsi"/>
          <w:szCs w:val="24"/>
        </w:rPr>
        <w:t xml:space="preserve">La transmisibilidad que define los valores negociables es una </w:t>
      </w:r>
      <w:r w:rsidR="00BE76A8" w:rsidRPr="0080490E">
        <w:rPr>
          <w:rFonts w:asciiTheme="minorHAnsi" w:hAnsiTheme="minorHAnsi" w:cstheme="minorHAnsi"/>
          <w:szCs w:val="24"/>
        </w:rPr>
        <w:t>transmisibilidad cualificada</w:t>
      </w:r>
      <w:r w:rsidR="00C857A8" w:rsidRPr="0080490E">
        <w:rPr>
          <w:rFonts w:asciiTheme="minorHAnsi" w:hAnsiTheme="minorHAnsi" w:cstheme="minorHAnsi"/>
          <w:szCs w:val="24"/>
        </w:rPr>
        <w:t xml:space="preserve">, pues precisa que </w:t>
      </w:r>
      <w:r w:rsidR="00BE76A8" w:rsidRPr="0080490E">
        <w:rPr>
          <w:rFonts w:asciiTheme="minorHAnsi" w:hAnsiTheme="minorHAnsi" w:cstheme="minorHAnsi"/>
          <w:szCs w:val="24"/>
        </w:rPr>
        <w:t xml:space="preserve">los instrumentos </w:t>
      </w:r>
      <w:r w:rsidR="00C857A8" w:rsidRPr="0080490E">
        <w:rPr>
          <w:rFonts w:asciiTheme="minorHAnsi" w:hAnsiTheme="minorHAnsi" w:cstheme="minorHAnsi"/>
          <w:szCs w:val="24"/>
        </w:rPr>
        <w:t>se</w:t>
      </w:r>
      <w:r w:rsidR="00BE76A8" w:rsidRPr="0080490E">
        <w:rPr>
          <w:rFonts w:asciiTheme="minorHAnsi" w:hAnsiTheme="minorHAnsi" w:cstheme="minorHAnsi"/>
          <w:szCs w:val="24"/>
        </w:rPr>
        <w:t xml:space="preserve"> negoci</w:t>
      </w:r>
      <w:r w:rsidR="00C857A8" w:rsidRPr="0080490E">
        <w:rPr>
          <w:rFonts w:asciiTheme="minorHAnsi" w:hAnsiTheme="minorHAnsi" w:cstheme="minorHAnsi"/>
          <w:szCs w:val="24"/>
        </w:rPr>
        <w:t>en</w:t>
      </w:r>
      <w:r w:rsidR="00BE76A8" w:rsidRPr="0080490E">
        <w:rPr>
          <w:rFonts w:asciiTheme="minorHAnsi" w:hAnsiTheme="minorHAnsi" w:cstheme="minorHAnsi"/>
          <w:szCs w:val="24"/>
        </w:rPr>
        <w:t xml:space="preserve"> de forma generalizada e impersonal, es decir, sin que la identidad del comprador o del vendedor sea decisiva para determinar los elementos esenciales del contrato</w:t>
      </w:r>
      <w:r w:rsidR="00BE76A8" w:rsidRPr="0080490E">
        <w:rPr>
          <w:rStyle w:val="Refdenotaalpie"/>
          <w:rFonts w:asciiTheme="minorHAnsi" w:hAnsiTheme="minorHAnsi" w:cstheme="minorHAnsi"/>
          <w:szCs w:val="24"/>
        </w:rPr>
        <w:footnoteReference w:id="71"/>
      </w:r>
      <w:r w:rsidR="00BE76A8" w:rsidRPr="0080490E">
        <w:rPr>
          <w:rFonts w:asciiTheme="minorHAnsi" w:hAnsiTheme="minorHAnsi" w:cstheme="minorHAnsi"/>
          <w:szCs w:val="24"/>
        </w:rPr>
        <w:t>.</w:t>
      </w:r>
    </w:p>
    <w:p w14:paraId="0D53DEDD" w14:textId="5F00024D" w:rsidR="00B742ED" w:rsidRPr="0080490E" w:rsidRDefault="0010316D"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La</w:t>
      </w:r>
      <w:r w:rsidR="00BE76A8" w:rsidRPr="0080490E">
        <w:rPr>
          <w:rFonts w:asciiTheme="minorHAnsi" w:hAnsiTheme="minorHAnsi" w:cstheme="minorHAnsi"/>
          <w:szCs w:val="24"/>
        </w:rPr>
        <w:t xml:space="preserve"> </w:t>
      </w:r>
      <w:r w:rsidR="00B742ED" w:rsidRPr="0080490E">
        <w:rPr>
          <w:rFonts w:asciiTheme="minorHAnsi" w:hAnsiTheme="minorHAnsi" w:cstheme="minorHAnsi"/>
          <w:szCs w:val="24"/>
        </w:rPr>
        <w:t xml:space="preserve">principal </w:t>
      </w:r>
      <w:r w:rsidRPr="0080490E">
        <w:rPr>
          <w:rFonts w:asciiTheme="minorHAnsi" w:hAnsiTheme="minorHAnsi" w:cstheme="minorHAnsi"/>
          <w:szCs w:val="24"/>
        </w:rPr>
        <w:t xml:space="preserve">dificultad </w:t>
      </w:r>
      <w:r w:rsidR="00B742ED" w:rsidRPr="0080490E">
        <w:rPr>
          <w:rFonts w:asciiTheme="minorHAnsi" w:hAnsiTheme="minorHAnsi" w:cstheme="minorHAnsi"/>
          <w:szCs w:val="24"/>
        </w:rPr>
        <w:t xml:space="preserve">que presenta la asimilación entre los </w:t>
      </w:r>
      <w:proofErr w:type="spellStart"/>
      <w:r w:rsidR="00B742ED" w:rsidRPr="0080490E">
        <w:rPr>
          <w:rFonts w:asciiTheme="minorHAnsi" w:hAnsiTheme="minorHAnsi" w:cstheme="minorHAnsi"/>
          <w:i/>
          <w:iCs/>
          <w:szCs w:val="24"/>
        </w:rPr>
        <w:t>security</w:t>
      </w:r>
      <w:proofErr w:type="spellEnd"/>
      <w:r w:rsidR="00B742ED" w:rsidRPr="0080490E">
        <w:rPr>
          <w:rFonts w:asciiTheme="minorHAnsi" w:hAnsiTheme="minorHAnsi" w:cstheme="minorHAnsi"/>
          <w:i/>
          <w:iCs/>
          <w:szCs w:val="24"/>
        </w:rPr>
        <w:t xml:space="preserve"> tokens</w:t>
      </w:r>
      <w:r w:rsidR="00B742ED" w:rsidRPr="0080490E">
        <w:rPr>
          <w:rFonts w:asciiTheme="minorHAnsi" w:hAnsiTheme="minorHAnsi" w:cstheme="minorHAnsi"/>
          <w:szCs w:val="24"/>
        </w:rPr>
        <w:t xml:space="preserve"> y los valores </w:t>
      </w:r>
      <w:r w:rsidR="0033303F" w:rsidRPr="0080490E">
        <w:rPr>
          <w:rFonts w:asciiTheme="minorHAnsi" w:hAnsiTheme="minorHAnsi" w:cstheme="minorHAnsi"/>
          <w:szCs w:val="24"/>
        </w:rPr>
        <w:t>negociable</w:t>
      </w:r>
      <w:r w:rsidR="00B742ED" w:rsidRPr="0080490E">
        <w:rPr>
          <w:rFonts w:asciiTheme="minorHAnsi" w:hAnsiTheme="minorHAnsi" w:cstheme="minorHAnsi"/>
          <w:szCs w:val="24"/>
        </w:rPr>
        <w:t>s reside en su transmisibilidad. S</w:t>
      </w:r>
      <w:r w:rsidR="00BE76A8" w:rsidRPr="0080490E">
        <w:rPr>
          <w:rFonts w:asciiTheme="minorHAnsi" w:hAnsiTheme="minorHAnsi" w:cstheme="minorHAnsi"/>
          <w:szCs w:val="24"/>
        </w:rPr>
        <w:t xml:space="preserve">i la transmisión del token se </w:t>
      </w:r>
      <w:r w:rsidR="00411BA6" w:rsidRPr="0080490E">
        <w:rPr>
          <w:rFonts w:asciiTheme="minorHAnsi" w:hAnsiTheme="minorHAnsi" w:cstheme="minorHAnsi"/>
          <w:szCs w:val="24"/>
        </w:rPr>
        <w:t xml:space="preserve">limita para que únicamente pueda </w:t>
      </w:r>
      <w:r w:rsidR="00BE76A8" w:rsidRPr="0080490E">
        <w:rPr>
          <w:rFonts w:asciiTheme="minorHAnsi" w:hAnsiTheme="minorHAnsi" w:cstheme="minorHAnsi"/>
          <w:szCs w:val="24"/>
        </w:rPr>
        <w:t>lleva</w:t>
      </w:r>
      <w:r w:rsidR="00411BA6" w:rsidRPr="0080490E">
        <w:rPr>
          <w:rFonts w:asciiTheme="minorHAnsi" w:hAnsiTheme="minorHAnsi" w:cstheme="minorHAnsi"/>
          <w:szCs w:val="24"/>
        </w:rPr>
        <w:t>rse</w:t>
      </w:r>
      <w:r w:rsidR="00BE76A8" w:rsidRPr="0080490E">
        <w:rPr>
          <w:rFonts w:asciiTheme="minorHAnsi" w:hAnsiTheme="minorHAnsi" w:cstheme="minorHAnsi"/>
          <w:szCs w:val="24"/>
        </w:rPr>
        <w:t xml:space="preserve"> a cabo a través de una cesión de contrato y no por medio de una transmisión pura </w:t>
      </w:r>
      <w:r w:rsidR="00B742ED" w:rsidRPr="0080490E">
        <w:rPr>
          <w:rFonts w:asciiTheme="minorHAnsi" w:hAnsiTheme="minorHAnsi" w:cstheme="minorHAnsi"/>
          <w:szCs w:val="24"/>
        </w:rPr>
        <w:t xml:space="preserve">y directa </w:t>
      </w:r>
      <w:r w:rsidR="00BE76A8" w:rsidRPr="0080490E">
        <w:rPr>
          <w:rFonts w:asciiTheme="minorHAnsi" w:hAnsiTheme="minorHAnsi" w:cstheme="minorHAnsi"/>
          <w:szCs w:val="24"/>
        </w:rPr>
        <w:t>no se puede decir que haya un</w:t>
      </w:r>
      <w:r w:rsidR="00BF2528" w:rsidRPr="0080490E">
        <w:rPr>
          <w:rFonts w:asciiTheme="minorHAnsi" w:hAnsiTheme="minorHAnsi" w:cstheme="minorHAnsi"/>
          <w:szCs w:val="24"/>
        </w:rPr>
        <w:t xml:space="preserve"> </w:t>
      </w:r>
      <w:r w:rsidR="00BE76A8" w:rsidRPr="0080490E">
        <w:rPr>
          <w:rFonts w:asciiTheme="minorHAnsi" w:hAnsiTheme="minorHAnsi" w:cstheme="minorHAnsi"/>
          <w:szCs w:val="24"/>
        </w:rPr>
        <w:t>mercado</w:t>
      </w:r>
      <w:r w:rsidR="00BF2528" w:rsidRPr="0080490E">
        <w:rPr>
          <w:rFonts w:asciiTheme="minorHAnsi" w:hAnsiTheme="minorHAnsi" w:cstheme="minorHAnsi"/>
          <w:szCs w:val="24"/>
        </w:rPr>
        <w:t xml:space="preserve"> que permita el tráfico generalizado e impersonal del token</w:t>
      </w:r>
      <w:r w:rsidR="00BE76A8" w:rsidRPr="0080490E">
        <w:rPr>
          <w:rFonts w:asciiTheme="minorHAnsi" w:hAnsiTheme="minorHAnsi" w:cstheme="minorHAnsi"/>
          <w:szCs w:val="24"/>
        </w:rPr>
        <w:t>.</w:t>
      </w:r>
    </w:p>
    <w:p w14:paraId="24FA87F4" w14:textId="05A83B70" w:rsidR="00A740C3" w:rsidRPr="0080490E" w:rsidRDefault="00434D1D" w:rsidP="0080490E">
      <w:pPr>
        <w:spacing w:after="0" w:line="276" w:lineRule="auto"/>
        <w:ind w:firstLine="0"/>
        <w:rPr>
          <w:rFonts w:asciiTheme="minorHAnsi" w:hAnsiTheme="minorHAnsi" w:cstheme="minorHAnsi"/>
          <w:szCs w:val="24"/>
          <w:lang w:eastAsia="es-ES_tradnl"/>
        </w:rPr>
      </w:pPr>
      <w:r w:rsidRPr="0080490E">
        <w:rPr>
          <w:rFonts w:asciiTheme="minorHAnsi" w:hAnsiTheme="minorHAnsi" w:cstheme="minorHAnsi"/>
          <w:szCs w:val="24"/>
        </w:rPr>
        <w:t>Otra dificultad para l</w:t>
      </w:r>
      <w:r w:rsidR="00A740C3" w:rsidRPr="0080490E">
        <w:rPr>
          <w:rFonts w:asciiTheme="minorHAnsi" w:hAnsiTheme="minorHAnsi" w:cstheme="minorHAnsi"/>
          <w:szCs w:val="24"/>
        </w:rPr>
        <w:t xml:space="preserve">a asimilación </w:t>
      </w:r>
      <w:r w:rsidRPr="0080490E">
        <w:rPr>
          <w:rFonts w:asciiTheme="minorHAnsi" w:hAnsiTheme="minorHAnsi" w:cstheme="minorHAnsi"/>
          <w:szCs w:val="24"/>
        </w:rPr>
        <w:t>de</w:t>
      </w:r>
      <w:r w:rsidR="00A740C3" w:rsidRPr="0080490E">
        <w:rPr>
          <w:rFonts w:asciiTheme="minorHAnsi" w:hAnsiTheme="minorHAnsi" w:cstheme="minorHAnsi"/>
          <w:szCs w:val="24"/>
        </w:rPr>
        <w:t xml:space="preserve"> los </w:t>
      </w:r>
      <w:proofErr w:type="spellStart"/>
      <w:r w:rsidR="00A740C3" w:rsidRPr="0080490E">
        <w:rPr>
          <w:rFonts w:asciiTheme="minorHAnsi" w:hAnsiTheme="minorHAnsi" w:cstheme="minorHAnsi"/>
          <w:i/>
          <w:iCs/>
          <w:szCs w:val="24"/>
        </w:rPr>
        <w:t>security</w:t>
      </w:r>
      <w:proofErr w:type="spellEnd"/>
      <w:r w:rsidR="00A740C3" w:rsidRPr="0080490E">
        <w:rPr>
          <w:rFonts w:asciiTheme="minorHAnsi" w:hAnsiTheme="minorHAnsi" w:cstheme="minorHAnsi"/>
          <w:i/>
          <w:iCs/>
          <w:szCs w:val="24"/>
        </w:rPr>
        <w:t xml:space="preserve"> tokens</w:t>
      </w:r>
      <w:r w:rsidR="00A740C3" w:rsidRPr="0080490E">
        <w:rPr>
          <w:rFonts w:asciiTheme="minorHAnsi" w:hAnsiTheme="minorHAnsi" w:cstheme="minorHAnsi"/>
          <w:szCs w:val="24"/>
        </w:rPr>
        <w:t xml:space="preserve"> </w:t>
      </w:r>
      <w:r w:rsidRPr="0080490E">
        <w:rPr>
          <w:rFonts w:asciiTheme="minorHAnsi" w:hAnsiTheme="minorHAnsi" w:cstheme="minorHAnsi"/>
          <w:szCs w:val="24"/>
        </w:rPr>
        <w:t>como</w:t>
      </w:r>
      <w:r w:rsidR="00A740C3" w:rsidRPr="0080490E">
        <w:rPr>
          <w:rFonts w:asciiTheme="minorHAnsi" w:hAnsiTheme="minorHAnsi" w:cstheme="minorHAnsi"/>
          <w:szCs w:val="24"/>
        </w:rPr>
        <w:t xml:space="preserve"> valores negociables </w:t>
      </w:r>
      <w:r w:rsidRPr="0080490E">
        <w:rPr>
          <w:rFonts w:asciiTheme="minorHAnsi" w:hAnsiTheme="minorHAnsi" w:cstheme="minorHAnsi"/>
          <w:szCs w:val="24"/>
        </w:rPr>
        <w:t>era su forma de representación</w:t>
      </w:r>
      <w:r w:rsidR="00A740C3" w:rsidRPr="0080490E">
        <w:rPr>
          <w:rFonts w:asciiTheme="minorHAnsi" w:hAnsiTheme="minorHAnsi" w:cstheme="minorHAnsi"/>
          <w:szCs w:val="24"/>
        </w:rPr>
        <w:t>. Conforme al artículo 6.1 TRLMV los valores negociables únicamente se podían representar por medio de títulos o anotaciones en cuenta. Es ob</w:t>
      </w:r>
      <w:r w:rsidR="00A740C3" w:rsidRPr="0080490E">
        <w:rPr>
          <w:rFonts w:asciiTheme="minorHAnsi" w:hAnsiTheme="minorHAnsi" w:cstheme="minorHAnsi"/>
          <w:szCs w:val="24"/>
        </w:rPr>
        <w:lastRenderedPageBreak/>
        <w:t xml:space="preserve">vio que blockchain no constituye un título documental y tampoco se adecúa a los registros de anotaciones en cuenta. </w:t>
      </w:r>
      <w:r w:rsidRPr="0080490E">
        <w:rPr>
          <w:rFonts w:asciiTheme="minorHAnsi" w:hAnsiTheme="minorHAnsi" w:cstheme="minorHAnsi"/>
          <w:szCs w:val="24"/>
        </w:rPr>
        <w:t xml:space="preserve">Sin embargo, la CNMV realizó una interpretación amplia del artículo 6.1 TRLMV concluyendo que </w:t>
      </w:r>
      <w:r w:rsidR="00734011" w:rsidRPr="0080490E">
        <w:rPr>
          <w:rFonts w:asciiTheme="minorHAnsi" w:hAnsiTheme="minorHAnsi" w:cstheme="minorHAnsi"/>
          <w:szCs w:val="24"/>
        </w:rPr>
        <w:t>esas</w:t>
      </w:r>
      <w:r w:rsidRPr="0080490E">
        <w:rPr>
          <w:rFonts w:asciiTheme="minorHAnsi" w:hAnsiTheme="minorHAnsi" w:cstheme="minorHAnsi"/>
          <w:szCs w:val="24"/>
        </w:rPr>
        <w:t xml:space="preserve"> formas de representación no constituyen un </w:t>
      </w:r>
      <w:r w:rsidRPr="0080490E">
        <w:rPr>
          <w:rFonts w:asciiTheme="minorHAnsi" w:hAnsiTheme="minorHAnsi" w:cstheme="minorHAnsi"/>
          <w:i/>
          <w:iCs/>
          <w:szCs w:val="24"/>
        </w:rPr>
        <w:t>numerus clausus</w:t>
      </w:r>
      <w:r w:rsidRPr="0080490E">
        <w:rPr>
          <w:rFonts w:asciiTheme="minorHAnsi" w:hAnsiTheme="minorHAnsi" w:cstheme="minorHAnsi"/>
          <w:szCs w:val="24"/>
        </w:rPr>
        <w:t xml:space="preserve">. </w:t>
      </w:r>
      <w:r w:rsidR="00A740C3" w:rsidRPr="0080490E">
        <w:rPr>
          <w:rFonts w:asciiTheme="minorHAnsi" w:hAnsiTheme="minorHAnsi" w:cstheme="minorHAnsi"/>
          <w:szCs w:val="24"/>
        </w:rPr>
        <w:t xml:space="preserve">Para ello, la CNMV se basó en que el precepto indica que los valores </w:t>
      </w:r>
      <w:r w:rsidR="004A6757" w:rsidRPr="0080490E">
        <w:rPr>
          <w:rFonts w:asciiTheme="minorHAnsi" w:hAnsiTheme="minorHAnsi" w:cstheme="minorHAnsi"/>
          <w:szCs w:val="24"/>
        </w:rPr>
        <w:t>«</w:t>
      </w:r>
      <w:r w:rsidR="00A740C3" w:rsidRPr="0080490E">
        <w:rPr>
          <w:rFonts w:asciiTheme="minorHAnsi" w:hAnsiTheme="minorHAnsi" w:cstheme="minorHAnsi"/>
          <w:szCs w:val="24"/>
        </w:rPr>
        <w:t>podrán representarse</w:t>
      </w:r>
      <w:r w:rsidR="004A6757" w:rsidRPr="0080490E">
        <w:rPr>
          <w:rFonts w:asciiTheme="minorHAnsi" w:hAnsiTheme="minorHAnsi" w:cstheme="minorHAnsi"/>
          <w:szCs w:val="24"/>
        </w:rPr>
        <w:t>»</w:t>
      </w:r>
      <w:r w:rsidR="00A740C3" w:rsidRPr="0080490E">
        <w:rPr>
          <w:rFonts w:asciiTheme="minorHAnsi" w:hAnsiTheme="minorHAnsi" w:cstheme="minorHAnsi"/>
          <w:szCs w:val="24"/>
        </w:rPr>
        <w:t xml:space="preserve"> a través de </w:t>
      </w:r>
      <w:r w:rsidRPr="0080490E">
        <w:rPr>
          <w:rFonts w:asciiTheme="minorHAnsi" w:hAnsiTheme="minorHAnsi" w:cstheme="minorHAnsi"/>
          <w:szCs w:val="24"/>
        </w:rPr>
        <w:t>anotaciones en cuenta o por medio de títulos</w:t>
      </w:r>
      <w:r w:rsidR="00A740C3" w:rsidRPr="0080490E">
        <w:rPr>
          <w:rFonts w:asciiTheme="minorHAnsi" w:hAnsiTheme="minorHAnsi" w:cstheme="minorHAnsi"/>
          <w:szCs w:val="24"/>
        </w:rPr>
        <w:t xml:space="preserve">. Por consiguiente, </w:t>
      </w:r>
      <w:r w:rsidR="00A740C3" w:rsidRPr="0080490E">
        <w:rPr>
          <w:rFonts w:asciiTheme="minorHAnsi" w:hAnsiTheme="minorHAnsi" w:cstheme="minorHAnsi"/>
          <w:szCs w:val="24"/>
          <w:lang w:eastAsia="es-ES_tradnl"/>
        </w:rPr>
        <w:t>«no puede excluirse la posibilidad del registro de derechos que puedan tener la consideración de valor negociable a través de la tecnología DLT»</w:t>
      </w:r>
      <w:r w:rsidR="00A740C3" w:rsidRPr="0080490E">
        <w:rPr>
          <w:rStyle w:val="Refdenotaalpie"/>
          <w:rFonts w:asciiTheme="minorHAnsi" w:hAnsiTheme="minorHAnsi" w:cstheme="minorHAnsi"/>
          <w:szCs w:val="24"/>
          <w:lang w:eastAsia="es-ES_tradnl"/>
        </w:rPr>
        <w:footnoteReference w:id="72"/>
      </w:r>
      <w:r w:rsidR="00A740C3" w:rsidRPr="0080490E">
        <w:rPr>
          <w:rFonts w:asciiTheme="minorHAnsi" w:hAnsiTheme="minorHAnsi" w:cstheme="minorHAnsi"/>
          <w:szCs w:val="24"/>
          <w:lang w:eastAsia="es-ES_tradnl"/>
        </w:rPr>
        <w:t>.</w:t>
      </w:r>
    </w:p>
    <w:p w14:paraId="3A3E6572" w14:textId="55D439AA" w:rsidR="00A740C3" w:rsidRPr="0080490E" w:rsidRDefault="00A740C3" w:rsidP="0080490E">
      <w:pPr>
        <w:spacing w:after="0" w:line="276" w:lineRule="auto"/>
        <w:ind w:firstLine="0"/>
        <w:rPr>
          <w:rFonts w:asciiTheme="minorHAnsi" w:hAnsiTheme="minorHAnsi" w:cstheme="minorHAnsi"/>
          <w:szCs w:val="24"/>
          <w:lang w:eastAsia="es-ES_tradnl"/>
        </w:rPr>
      </w:pPr>
      <w:r w:rsidRPr="0080490E">
        <w:rPr>
          <w:rFonts w:asciiTheme="minorHAnsi" w:hAnsiTheme="minorHAnsi" w:cstheme="minorHAnsi"/>
          <w:szCs w:val="24"/>
          <w:lang w:eastAsia="es-ES_tradnl"/>
        </w:rPr>
        <w:t>A pesar de todo la CNMV excluye a los valores tokenizados de su negociación en mercados secundarios regulados</w:t>
      </w:r>
      <w:r w:rsidR="00273226" w:rsidRPr="0080490E">
        <w:rPr>
          <w:rFonts w:asciiTheme="minorHAnsi" w:hAnsiTheme="minorHAnsi" w:cstheme="minorHAnsi"/>
          <w:szCs w:val="24"/>
          <w:lang w:eastAsia="es-ES_tradnl"/>
        </w:rPr>
        <w:t>,</w:t>
      </w:r>
      <w:r w:rsidRPr="0080490E">
        <w:rPr>
          <w:rFonts w:asciiTheme="minorHAnsi" w:hAnsiTheme="minorHAnsi" w:cstheme="minorHAnsi"/>
          <w:szCs w:val="24"/>
          <w:lang w:eastAsia="es-ES_tradnl"/>
        </w:rPr>
        <w:t xml:space="preserve"> plataformas no reguladas o </w:t>
      </w:r>
      <w:proofErr w:type="spellStart"/>
      <w:r w:rsidRPr="0080490E">
        <w:rPr>
          <w:rFonts w:asciiTheme="minorHAnsi" w:hAnsiTheme="minorHAnsi" w:cstheme="minorHAnsi"/>
          <w:i/>
          <w:iCs/>
          <w:szCs w:val="24"/>
          <w:lang w:eastAsia="es-ES_tradnl"/>
        </w:rPr>
        <w:t>exchangers</w:t>
      </w:r>
      <w:proofErr w:type="spellEnd"/>
      <w:r w:rsidRPr="0080490E">
        <w:rPr>
          <w:rFonts w:asciiTheme="minorHAnsi" w:hAnsiTheme="minorHAnsi" w:cstheme="minorHAnsi"/>
          <w:szCs w:val="24"/>
          <w:lang w:eastAsia="es-ES_tradnl"/>
        </w:rPr>
        <w:t xml:space="preserve"> localizados en España</w:t>
      </w:r>
      <w:r w:rsidRPr="0080490E">
        <w:rPr>
          <w:rStyle w:val="Refdenotaalpie"/>
          <w:rFonts w:asciiTheme="minorHAnsi" w:hAnsiTheme="minorHAnsi" w:cstheme="minorHAnsi"/>
          <w:szCs w:val="24"/>
          <w:lang w:eastAsia="es-ES_tradnl"/>
        </w:rPr>
        <w:footnoteReference w:id="73"/>
      </w:r>
      <w:r w:rsidRPr="0080490E">
        <w:rPr>
          <w:rFonts w:asciiTheme="minorHAnsi" w:hAnsiTheme="minorHAnsi" w:cstheme="minorHAnsi"/>
          <w:szCs w:val="24"/>
          <w:lang w:eastAsia="es-ES_tradnl"/>
        </w:rPr>
        <w:t>.</w:t>
      </w:r>
    </w:p>
    <w:p w14:paraId="06C69D09" w14:textId="010DBF19" w:rsidR="00A740C3" w:rsidRPr="0080490E" w:rsidRDefault="00A740C3"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También es preciso aludir a la problemática que origina la legitimación de los valores negociables. La tenencia del token en la cadena debería legitimar por sí misma para el ejercicio del derecho frente al emisor, sin necesidad de otro soporte documental. Por el contrario, no sería posible incluir los tokens entre los valores negociables si lo que justifica el derecho a la percepción de los rendimientos económicos es </w:t>
      </w:r>
      <w:r w:rsidR="004E4B08" w:rsidRPr="0080490E">
        <w:rPr>
          <w:rFonts w:asciiTheme="minorHAnsi" w:hAnsiTheme="minorHAnsi" w:cstheme="minorHAnsi"/>
          <w:szCs w:val="24"/>
        </w:rPr>
        <w:t>un</w:t>
      </w:r>
      <w:r w:rsidRPr="0080490E">
        <w:rPr>
          <w:rFonts w:asciiTheme="minorHAnsi" w:hAnsiTheme="minorHAnsi" w:cstheme="minorHAnsi"/>
          <w:szCs w:val="24"/>
        </w:rPr>
        <w:t xml:space="preserve"> contrato de préstamo participativo o la constancia </w:t>
      </w:r>
      <w:r w:rsidR="00E73372" w:rsidRPr="0080490E">
        <w:rPr>
          <w:rFonts w:asciiTheme="minorHAnsi" w:hAnsiTheme="minorHAnsi" w:cstheme="minorHAnsi"/>
          <w:szCs w:val="24"/>
        </w:rPr>
        <w:t>en</w:t>
      </w:r>
      <w:r w:rsidRPr="0080490E">
        <w:rPr>
          <w:rFonts w:asciiTheme="minorHAnsi" w:hAnsiTheme="minorHAnsi" w:cstheme="minorHAnsi"/>
          <w:szCs w:val="24"/>
        </w:rPr>
        <w:t xml:space="preserve"> un registro ajeno a blockchain.</w:t>
      </w:r>
    </w:p>
    <w:p w14:paraId="0C8314D9" w14:textId="1EF084BB" w:rsidR="00A740C3" w:rsidRPr="0080490E" w:rsidRDefault="00A740C3"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Sobre la base de lo anterior se puede concluir que, estrictamente, los </w:t>
      </w:r>
      <w:proofErr w:type="spellStart"/>
      <w:r w:rsidRPr="0080490E">
        <w:rPr>
          <w:rFonts w:asciiTheme="minorHAnsi" w:hAnsiTheme="minorHAnsi" w:cstheme="minorHAnsi"/>
          <w:i/>
          <w:szCs w:val="24"/>
        </w:rPr>
        <w:t>security</w:t>
      </w:r>
      <w:proofErr w:type="spellEnd"/>
      <w:r w:rsidRPr="0080490E">
        <w:rPr>
          <w:rFonts w:asciiTheme="minorHAnsi" w:hAnsiTheme="minorHAnsi" w:cstheme="minorHAnsi"/>
          <w:i/>
          <w:szCs w:val="24"/>
        </w:rPr>
        <w:t xml:space="preserve"> tokens</w:t>
      </w:r>
      <w:r w:rsidRPr="0080490E">
        <w:rPr>
          <w:rFonts w:asciiTheme="minorHAnsi" w:hAnsiTheme="minorHAnsi" w:cstheme="minorHAnsi"/>
          <w:szCs w:val="24"/>
        </w:rPr>
        <w:t xml:space="preserve"> no respondían a la descripción de valor negociable y a las características recogidas en la legislación del mercado de valores. Sin embargo, la CNMV forzó los artículos 2.1 y 6.1 TRLVM para que a través de su interpretación extensiva los </w:t>
      </w:r>
      <w:proofErr w:type="spellStart"/>
      <w:r w:rsidRPr="0080490E">
        <w:rPr>
          <w:rFonts w:asciiTheme="minorHAnsi" w:hAnsiTheme="minorHAnsi" w:cstheme="minorHAnsi"/>
          <w:i/>
          <w:iCs/>
          <w:szCs w:val="24"/>
        </w:rPr>
        <w:t>security</w:t>
      </w:r>
      <w:proofErr w:type="spellEnd"/>
      <w:r w:rsidRPr="0080490E">
        <w:rPr>
          <w:rFonts w:asciiTheme="minorHAnsi" w:hAnsiTheme="minorHAnsi" w:cstheme="minorHAnsi"/>
          <w:i/>
          <w:iCs/>
          <w:szCs w:val="24"/>
        </w:rPr>
        <w:t xml:space="preserve"> tokens</w:t>
      </w:r>
      <w:r w:rsidRPr="0080490E">
        <w:rPr>
          <w:rFonts w:asciiTheme="minorHAnsi" w:hAnsiTheme="minorHAnsi" w:cstheme="minorHAnsi"/>
          <w:szCs w:val="24"/>
        </w:rPr>
        <w:t xml:space="preserve"> pudieran encajar en la categoría de valor negociable.</w:t>
      </w:r>
    </w:p>
    <w:p w14:paraId="08B92BE6" w14:textId="77777777" w:rsidR="00FD137E" w:rsidRPr="0080490E" w:rsidRDefault="00FD137E" w:rsidP="0080490E">
      <w:pPr>
        <w:spacing w:after="0" w:line="276" w:lineRule="auto"/>
        <w:ind w:firstLine="0"/>
        <w:rPr>
          <w:rFonts w:asciiTheme="minorHAnsi" w:hAnsiTheme="minorHAnsi" w:cstheme="minorHAnsi"/>
          <w:szCs w:val="24"/>
        </w:rPr>
      </w:pPr>
    </w:p>
    <w:p w14:paraId="4476BCDB" w14:textId="5FF40EF7" w:rsidR="008D2333" w:rsidRPr="0080490E" w:rsidRDefault="00F0187C" w:rsidP="0080490E">
      <w:pPr>
        <w:pStyle w:val="Ttulo2"/>
        <w:spacing w:after="0" w:line="276" w:lineRule="auto"/>
        <w:ind w:firstLine="0"/>
        <w:rPr>
          <w:rFonts w:asciiTheme="minorHAnsi" w:hAnsiTheme="minorHAnsi" w:cstheme="minorHAnsi"/>
          <w:szCs w:val="24"/>
        </w:rPr>
      </w:pPr>
      <w:r w:rsidRPr="0080490E">
        <w:rPr>
          <w:rFonts w:asciiTheme="minorHAnsi" w:hAnsiTheme="minorHAnsi" w:cstheme="minorHAnsi"/>
          <w:szCs w:val="24"/>
        </w:rPr>
        <w:t>6</w:t>
      </w:r>
      <w:r w:rsidR="008D2333" w:rsidRPr="0080490E">
        <w:rPr>
          <w:rFonts w:asciiTheme="minorHAnsi" w:hAnsiTheme="minorHAnsi" w:cstheme="minorHAnsi"/>
          <w:szCs w:val="24"/>
        </w:rPr>
        <w:t>.</w:t>
      </w:r>
      <w:r w:rsidRPr="0080490E">
        <w:rPr>
          <w:rFonts w:asciiTheme="minorHAnsi" w:hAnsiTheme="minorHAnsi" w:cstheme="minorHAnsi"/>
          <w:szCs w:val="24"/>
        </w:rPr>
        <w:t>3</w:t>
      </w:r>
      <w:r w:rsidR="008D2333" w:rsidRPr="0080490E">
        <w:rPr>
          <w:rFonts w:asciiTheme="minorHAnsi" w:hAnsiTheme="minorHAnsi" w:cstheme="minorHAnsi"/>
          <w:szCs w:val="24"/>
        </w:rPr>
        <w:t xml:space="preserve"> </w:t>
      </w:r>
      <w:r w:rsidRPr="0080490E">
        <w:rPr>
          <w:rFonts w:asciiTheme="minorHAnsi" w:hAnsiTheme="minorHAnsi" w:cstheme="minorHAnsi"/>
          <w:szCs w:val="24"/>
        </w:rPr>
        <w:t>Libertad en la configuración de la realidad jurídica representada por el token</w:t>
      </w:r>
    </w:p>
    <w:p w14:paraId="71B8816F" w14:textId="77C3AD24" w:rsidR="00661AE7" w:rsidRPr="0080490E" w:rsidRDefault="00661AE7"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La libertad en el diseño de la función representativa del token y en la redacción de los </w:t>
      </w:r>
      <w:proofErr w:type="spellStart"/>
      <w:r w:rsidRPr="0080490E">
        <w:rPr>
          <w:rFonts w:asciiTheme="minorHAnsi" w:hAnsiTheme="minorHAnsi" w:cstheme="minorHAnsi"/>
          <w:i/>
          <w:iCs/>
          <w:szCs w:val="24"/>
        </w:rPr>
        <w:t>whitepapers</w:t>
      </w:r>
      <w:proofErr w:type="spellEnd"/>
      <w:r w:rsidRPr="0080490E">
        <w:rPr>
          <w:rFonts w:asciiTheme="minorHAnsi" w:hAnsiTheme="minorHAnsi" w:cstheme="minorHAnsi"/>
          <w:szCs w:val="24"/>
        </w:rPr>
        <w:t xml:space="preserve">, así como la falta de una correspondencia plena entre los </w:t>
      </w:r>
      <w:proofErr w:type="spellStart"/>
      <w:r w:rsidRPr="0080490E">
        <w:rPr>
          <w:rFonts w:asciiTheme="minorHAnsi" w:hAnsiTheme="minorHAnsi" w:cstheme="minorHAnsi"/>
          <w:i/>
          <w:iCs/>
          <w:szCs w:val="24"/>
        </w:rPr>
        <w:t>security</w:t>
      </w:r>
      <w:proofErr w:type="spellEnd"/>
      <w:r w:rsidRPr="0080490E">
        <w:rPr>
          <w:rFonts w:asciiTheme="minorHAnsi" w:hAnsiTheme="minorHAnsi" w:cstheme="minorHAnsi"/>
          <w:i/>
          <w:iCs/>
          <w:szCs w:val="24"/>
        </w:rPr>
        <w:t xml:space="preserve"> tokens</w:t>
      </w:r>
      <w:r w:rsidRPr="0080490E">
        <w:rPr>
          <w:rFonts w:asciiTheme="minorHAnsi" w:hAnsiTheme="minorHAnsi" w:cstheme="minorHAnsi"/>
          <w:szCs w:val="24"/>
        </w:rPr>
        <w:t xml:space="preserve"> y los valores negociables, permite</w:t>
      </w:r>
      <w:r w:rsidR="000675AC" w:rsidRPr="0080490E">
        <w:rPr>
          <w:rFonts w:asciiTheme="minorHAnsi" w:hAnsiTheme="minorHAnsi" w:cstheme="minorHAnsi"/>
          <w:szCs w:val="24"/>
        </w:rPr>
        <w:t>n</w:t>
      </w:r>
      <w:r w:rsidRPr="0080490E">
        <w:rPr>
          <w:rFonts w:asciiTheme="minorHAnsi" w:hAnsiTheme="minorHAnsi" w:cstheme="minorHAnsi"/>
          <w:szCs w:val="24"/>
        </w:rPr>
        <w:t xml:space="preserve"> cierto margen de discrecionalidad a los emisores y aleja este planteamiento del fraude de ley. De este modo, es posible aceptar la validez de tokens con un componente inversor </w:t>
      </w:r>
      <w:r w:rsidR="00365F51" w:rsidRPr="0080490E">
        <w:rPr>
          <w:rFonts w:asciiTheme="minorHAnsi" w:hAnsiTheme="minorHAnsi" w:cstheme="minorHAnsi"/>
          <w:szCs w:val="24"/>
        </w:rPr>
        <w:t xml:space="preserve">que estén </w:t>
      </w:r>
      <w:r w:rsidRPr="0080490E">
        <w:rPr>
          <w:rFonts w:asciiTheme="minorHAnsi" w:hAnsiTheme="minorHAnsi" w:cstheme="minorHAnsi"/>
          <w:szCs w:val="24"/>
        </w:rPr>
        <w:t>excluidos de la legislación del mercado de valores.</w:t>
      </w:r>
    </w:p>
    <w:p w14:paraId="6737D723" w14:textId="7B4C7EE3" w:rsidR="002C7A88" w:rsidRPr="0080490E" w:rsidRDefault="006E04D6"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Aunque</w:t>
      </w:r>
      <w:r w:rsidR="007B4E40" w:rsidRPr="0080490E">
        <w:rPr>
          <w:rFonts w:asciiTheme="minorHAnsi" w:hAnsiTheme="minorHAnsi" w:cstheme="minorHAnsi"/>
          <w:szCs w:val="24"/>
        </w:rPr>
        <w:t xml:space="preserve"> la CNMV plantea </w:t>
      </w:r>
      <w:r w:rsidR="00E7751E" w:rsidRPr="0080490E">
        <w:rPr>
          <w:rFonts w:asciiTheme="minorHAnsi" w:hAnsiTheme="minorHAnsi" w:cstheme="minorHAnsi"/>
          <w:szCs w:val="24"/>
        </w:rPr>
        <w:t xml:space="preserve">en sus notas </w:t>
      </w:r>
      <w:r w:rsidR="007B4E40" w:rsidRPr="0080490E">
        <w:rPr>
          <w:rFonts w:asciiTheme="minorHAnsi" w:hAnsiTheme="minorHAnsi" w:cstheme="minorHAnsi"/>
          <w:szCs w:val="24"/>
        </w:rPr>
        <w:t>que las emisiones de tokens pueden constituir verdader</w:t>
      </w:r>
      <w:r w:rsidR="00E7751E" w:rsidRPr="0080490E">
        <w:rPr>
          <w:rFonts w:asciiTheme="minorHAnsi" w:hAnsiTheme="minorHAnsi" w:cstheme="minorHAnsi"/>
          <w:szCs w:val="24"/>
        </w:rPr>
        <w:t>a</w:t>
      </w:r>
      <w:r w:rsidR="007B4E40" w:rsidRPr="0080490E">
        <w:rPr>
          <w:rFonts w:asciiTheme="minorHAnsi" w:hAnsiTheme="minorHAnsi" w:cstheme="minorHAnsi"/>
          <w:szCs w:val="24"/>
        </w:rPr>
        <w:t>s ofertas públicas</w:t>
      </w:r>
      <w:r w:rsidR="008E74D0" w:rsidRPr="0080490E">
        <w:rPr>
          <w:rFonts w:asciiTheme="minorHAnsi" w:hAnsiTheme="minorHAnsi" w:cstheme="minorHAnsi"/>
          <w:szCs w:val="24"/>
        </w:rPr>
        <w:t xml:space="preserve"> de valores</w:t>
      </w:r>
      <w:r w:rsidR="007B4E40" w:rsidRPr="0080490E">
        <w:rPr>
          <w:rFonts w:asciiTheme="minorHAnsi" w:hAnsiTheme="minorHAnsi" w:cstheme="minorHAnsi"/>
          <w:szCs w:val="24"/>
        </w:rPr>
        <w:t xml:space="preserve"> podría defenderse que no hay, verdaderamente, </w:t>
      </w:r>
      <w:r w:rsidR="005B2C29" w:rsidRPr="0080490E">
        <w:rPr>
          <w:rFonts w:asciiTheme="minorHAnsi" w:hAnsiTheme="minorHAnsi" w:cstheme="minorHAnsi"/>
          <w:szCs w:val="24"/>
        </w:rPr>
        <w:t>tal</w:t>
      </w:r>
      <w:r w:rsidR="007B4E40" w:rsidRPr="0080490E">
        <w:rPr>
          <w:rFonts w:asciiTheme="minorHAnsi" w:hAnsiTheme="minorHAnsi" w:cstheme="minorHAnsi"/>
          <w:szCs w:val="24"/>
        </w:rPr>
        <w:t xml:space="preserve"> oferta </w:t>
      </w:r>
      <w:r w:rsidR="005D444E" w:rsidRPr="0080490E">
        <w:rPr>
          <w:rFonts w:asciiTheme="minorHAnsi" w:hAnsiTheme="minorHAnsi" w:cstheme="minorHAnsi"/>
          <w:szCs w:val="24"/>
        </w:rPr>
        <w:t xml:space="preserve">pública </w:t>
      </w:r>
      <w:r w:rsidR="007B4E40" w:rsidRPr="0080490E">
        <w:rPr>
          <w:rFonts w:asciiTheme="minorHAnsi" w:hAnsiTheme="minorHAnsi" w:cstheme="minorHAnsi"/>
          <w:szCs w:val="24"/>
        </w:rPr>
        <w:t xml:space="preserve">sino </w:t>
      </w:r>
      <w:r w:rsidR="005D444E" w:rsidRPr="0080490E">
        <w:rPr>
          <w:rFonts w:asciiTheme="minorHAnsi" w:hAnsiTheme="minorHAnsi" w:cstheme="minorHAnsi"/>
          <w:szCs w:val="24"/>
        </w:rPr>
        <w:t>una serie de ofertas contractuales individuales publicadas a través de una plataforma para la celebración electrónica de acuerdos bilaterales, autónomos e independientes entre sí</w:t>
      </w:r>
      <w:r w:rsidR="00386010" w:rsidRPr="0080490E">
        <w:rPr>
          <w:rStyle w:val="Refdenotaalpie"/>
          <w:rFonts w:asciiTheme="minorHAnsi" w:hAnsiTheme="minorHAnsi" w:cstheme="minorHAnsi"/>
          <w:szCs w:val="24"/>
        </w:rPr>
        <w:footnoteReference w:id="74"/>
      </w:r>
      <w:r w:rsidR="00D54FDB" w:rsidRPr="0080490E">
        <w:rPr>
          <w:rFonts w:asciiTheme="minorHAnsi" w:hAnsiTheme="minorHAnsi" w:cstheme="minorHAnsi"/>
          <w:szCs w:val="24"/>
        </w:rPr>
        <w:t>.</w:t>
      </w:r>
      <w:r w:rsidR="0006096B" w:rsidRPr="0080490E">
        <w:rPr>
          <w:rFonts w:asciiTheme="minorHAnsi" w:hAnsiTheme="minorHAnsi" w:cstheme="minorHAnsi"/>
          <w:szCs w:val="24"/>
        </w:rPr>
        <w:t xml:space="preserve"> </w:t>
      </w:r>
      <w:r w:rsidR="005D444E" w:rsidRPr="0080490E">
        <w:rPr>
          <w:rFonts w:asciiTheme="minorHAnsi" w:hAnsiTheme="minorHAnsi" w:cstheme="minorHAnsi"/>
          <w:szCs w:val="24"/>
        </w:rPr>
        <w:t xml:space="preserve">Estas notas </w:t>
      </w:r>
      <w:r w:rsidR="002C7A88" w:rsidRPr="0080490E">
        <w:rPr>
          <w:rFonts w:asciiTheme="minorHAnsi" w:hAnsiTheme="minorHAnsi" w:cstheme="minorHAnsi"/>
          <w:szCs w:val="24"/>
        </w:rPr>
        <w:t>determina</w:t>
      </w:r>
      <w:r w:rsidR="005D444E" w:rsidRPr="0080490E">
        <w:rPr>
          <w:rFonts w:asciiTheme="minorHAnsi" w:hAnsiTheme="minorHAnsi" w:cstheme="minorHAnsi"/>
          <w:szCs w:val="24"/>
        </w:rPr>
        <w:t>n también</w:t>
      </w:r>
      <w:r w:rsidR="002C7A88" w:rsidRPr="0080490E">
        <w:rPr>
          <w:rFonts w:asciiTheme="minorHAnsi" w:hAnsiTheme="minorHAnsi" w:cstheme="minorHAnsi"/>
          <w:szCs w:val="24"/>
        </w:rPr>
        <w:t xml:space="preserve"> la inexistencia de una </w:t>
      </w:r>
      <w:r w:rsidR="005D444E" w:rsidRPr="0080490E">
        <w:rPr>
          <w:rFonts w:asciiTheme="minorHAnsi" w:hAnsiTheme="minorHAnsi" w:cstheme="minorHAnsi"/>
          <w:szCs w:val="24"/>
        </w:rPr>
        <w:t>relación</w:t>
      </w:r>
      <w:r w:rsidR="00CE5421" w:rsidRPr="0080490E">
        <w:rPr>
          <w:rFonts w:asciiTheme="minorHAnsi" w:hAnsiTheme="minorHAnsi" w:cstheme="minorHAnsi"/>
          <w:szCs w:val="24"/>
        </w:rPr>
        <w:t xml:space="preserve">, vinculación o </w:t>
      </w:r>
      <w:r w:rsidR="002739B5" w:rsidRPr="0080490E">
        <w:rPr>
          <w:rFonts w:asciiTheme="minorHAnsi" w:hAnsiTheme="minorHAnsi" w:cstheme="minorHAnsi"/>
          <w:szCs w:val="24"/>
        </w:rPr>
        <w:t>agrupación</w:t>
      </w:r>
      <w:r w:rsidR="00CE5421" w:rsidRPr="0080490E">
        <w:rPr>
          <w:rFonts w:asciiTheme="minorHAnsi" w:hAnsiTheme="minorHAnsi" w:cstheme="minorHAnsi"/>
          <w:szCs w:val="24"/>
        </w:rPr>
        <w:t xml:space="preserve"> </w:t>
      </w:r>
      <w:r w:rsidR="005D444E" w:rsidRPr="0080490E">
        <w:rPr>
          <w:rFonts w:asciiTheme="minorHAnsi" w:hAnsiTheme="minorHAnsi" w:cstheme="minorHAnsi"/>
          <w:szCs w:val="24"/>
        </w:rPr>
        <w:t xml:space="preserve">entre los distintos </w:t>
      </w:r>
      <w:r w:rsidR="002C7A88" w:rsidRPr="0080490E">
        <w:rPr>
          <w:rFonts w:asciiTheme="minorHAnsi" w:hAnsiTheme="minorHAnsi" w:cstheme="minorHAnsi"/>
          <w:szCs w:val="24"/>
        </w:rPr>
        <w:t>inversores.</w:t>
      </w:r>
    </w:p>
    <w:p w14:paraId="3899D573" w14:textId="59A98AAD" w:rsidR="004E33A4" w:rsidRPr="0080490E" w:rsidRDefault="004E33A4"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lastRenderedPageBreak/>
        <w:t xml:space="preserve">Precisamente para marcar la distinción con los valores negociables </w:t>
      </w:r>
      <w:r w:rsidR="008E74D0" w:rsidRPr="0080490E">
        <w:rPr>
          <w:rFonts w:asciiTheme="minorHAnsi" w:hAnsiTheme="minorHAnsi" w:cstheme="minorHAnsi"/>
          <w:szCs w:val="24"/>
        </w:rPr>
        <w:t>se</w:t>
      </w:r>
      <w:r w:rsidR="00E7751E" w:rsidRPr="0080490E">
        <w:rPr>
          <w:rFonts w:asciiTheme="minorHAnsi" w:hAnsiTheme="minorHAnsi" w:cstheme="minorHAnsi"/>
          <w:szCs w:val="24"/>
        </w:rPr>
        <w:t>rá</w:t>
      </w:r>
      <w:r w:rsidR="008E74D0" w:rsidRPr="0080490E">
        <w:rPr>
          <w:rFonts w:asciiTheme="minorHAnsi" w:hAnsiTheme="minorHAnsi" w:cstheme="minorHAnsi"/>
          <w:szCs w:val="24"/>
        </w:rPr>
        <w:t xml:space="preserve"> procedente emplear</w:t>
      </w:r>
      <w:r w:rsidR="00921BA1" w:rsidRPr="0080490E">
        <w:rPr>
          <w:rFonts w:asciiTheme="minorHAnsi" w:hAnsiTheme="minorHAnsi" w:cstheme="minorHAnsi"/>
          <w:szCs w:val="24"/>
        </w:rPr>
        <w:t xml:space="preserve"> una </w:t>
      </w:r>
      <w:r w:rsidR="00871000" w:rsidRPr="0080490E">
        <w:rPr>
          <w:rFonts w:asciiTheme="minorHAnsi" w:hAnsiTheme="minorHAnsi" w:cstheme="minorHAnsi"/>
          <w:szCs w:val="24"/>
        </w:rPr>
        <w:t>denominación</w:t>
      </w:r>
      <w:r w:rsidR="00921BA1" w:rsidRPr="0080490E">
        <w:rPr>
          <w:rFonts w:asciiTheme="minorHAnsi" w:hAnsiTheme="minorHAnsi" w:cstheme="minorHAnsi"/>
          <w:szCs w:val="24"/>
        </w:rPr>
        <w:t xml:space="preserve"> distinta </w:t>
      </w:r>
      <w:r w:rsidR="00871000" w:rsidRPr="0080490E">
        <w:rPr>
          <w:rFonts w:asciiTheme="minorHAnsi" w:hAnsiTheme="minorHAnsi" w:cstheme="minorHAnsi"/>
          <w:szCs w:val="24"/>
        </w:rPr>
        <w:t>a</w:t>
      </w:r>
      <w:r w:rsidR="00921BA1" w:rsidRPr="0080490E">
        <w:rPr>
          <w:rFonts w:asciiTheme="minorHAnsi" w:hAnsiTheme="minorHAnsi" w:cstheme="minorHAnsi"/>
          <w:szCs w:val="24"/>
        </w:rPr>
        <w:t xml:space="preserve"> </w:t>
      </w:r>
      <w:proofErr w:type="spellStart"/>
      <w:r w:rsidR="00921BA1" w:rsidRPr="0080490E">
        <w:rPr>
          <w:rFonts w:asciiTheme="minorHAnsi" w:hAnsiTheme="minorHAnsi" w:cstheme="minorHAnsi"/>
          <w:i/>
          <w:iCs/>
          <w:szCs w:val="24"/>
        </w:rPr>
        <w:t>security</w:t>
      </w:r>
      <w:proofErr w:type="spellEnd"/>
      <w:r w:rsidR="00921BA1" w:rsidRPr="0080490E">
        <w:rPr>
          <w:rFonts w:asciiTheme="minorHAnsi" w:hAnsiTheme="minorHAnsi" w:cstheme="minorHAnsi"/>
          <w:i/>
          <w:iCs/>
          <w:szCs w:val="24"/>
        </w:rPr>
        <w:t xml:space="preserve"> tokens</w:t>
      </w:r>
      <w:r w:rsidR="00921BA1" w:rsidRPr="0080490E">
        <w:rPr>
          <w:rFonts w:asciiTheme="minorHAnsi" w:hAnsiTheme="minorHAnsi" w:cstheme="minorHAnsi"/>
          <w:szCs w:val="24"/>
        </w:rPr>
        <w:t xml:space="preserve">. </w:t>
      </w:r>
      <w:r w:rsidR="008469DB" w:rsidRPr="0080490E">
        <w:rPr>
          <w:rFonts w:asciiTheme="minorHAnsi" w:hAnsiTheme="minorHAnsi" w:cstheme="minorHAnsi"/>
          <w:szCs w:val="24"/>
        </w:rPr>
        <w:t xml:space="preserve">No se trata de una </w:t>
      </w:r>
      <w:r w:rsidR="00D43F7D" w:rsidRPr="0080490E">
        <w:rPr>
          <w:rFonts w:asciiTheme="minorHAnsi" w:hAnsiTheme="minorHAnsi" w:cstheme="minorHAnsi"/>
          <w:szCs w:val="24"/>
        </w:rPr>
        <w:t xml:space="preserve">simple </w:t>
      </w:r>
      <w:r w:rsidR="008469DB" w:rsidRPr="0080490E">
        <w:rPr>
          <w:rFonts w:asciiTheme="minorHAnsi" w:hAnsiTheme="minorHAnsi" w:cstheme="minorHAnsi"/>
          <w:szCs w:val="24"/>
        </w:rPr>
        <w:t xml:space="preserve">cuestión </w:t>
      </w:r>
      <w:r w:rsidR="00204BCE" w:rsidRPr="0080490E">
        <w:rPr>
          <w:rFonts w:asciiTheme="minorHAnsi" w:hAnsiTheme="minorHAnsi" w:cstheme="minorHAnsi"/>
          <w:szCs w:val="24"/>
        </w:rPr>
        <w:t>terminológica</w:t>
      </w:r>
      <w:r w:rsidR="00500935" w:rsidRPr="0080490E">
        <w:rPr>
          <w:rFonts w:asciiTheme="minorHAnsi" w:hAnsiTheme="minorHAnsi" w:cstheme="minorHAnsi"/>
          <w:szCs w:val="24"/>
        </w:rPr>
        <w:t>,</w:t>
      </w:r>
      <w:r w:rsidR="008469DB" w:rsidRPr="0080490E">
        <w:rPr>
          <w:rFonts w:asciiTheme="minorHAnsi" w:hAnsiTheme="minorHAnsi" w:cstheme="minorHAnsi"/>
          <w:szCs w:val="24"/>
        </w:rPr>
        <w:t xml:space="preserve"> sino </w:t>
      </w:r>
      <w:r w:rsidR="00D43F7D" w:rsidRPr="0080490E">
        <w:rPr>
          <w:rFonts w:asciiTheme="minorHAnsi" w:hAnsiTheme="minorHAnsi" w:cstheme="minorHAnsi"/>
          <w:szCs w:val="24"/>
        </w:rPr>
        <w:t>de</w:t>
      </w:r>
      <w:r w:rsidR="00E7751E" w:rsidRPr="0080490E">
        <w:rPr>
          <w:rFonts w:asciiTheme="minorHAnsi" w:hAnsiTheme="minorHAnsi" w:cstheme="minorHAnsi"/>
          <w:szCs w:val="24"/>
        </w:rPr>
        <w:t xml:space="preserve"> </w:t>
      </w:r>
      <w:r w:rsidR="008469DB" w:rsidRPr="0080490E">
        <w:rPr>
          <w:rFonts w:asciiTheme="minorHAnsi" w:hAnsiTheme="minorHAnsi" w:cstheme="minorHAnsi"/>
          <w:szCs w:val="24"/>
        </w:rPr>
        <w:t xml:space="preserve">enfatizar la </w:t>
      </w:r>
      <w:r w:rsidR="00E7751E" w:rsidRPr="0080490E">
        <w:rPr>
          <w:rFonts w:asciiTheme="minorHAnsi" w:hAnsiTheme="minorHAnsi" w:cstheme="minorHAnsi"/>
          <w:szCs w:val="24"/>
        </w:rPr>
        <w:t xml:space="preserve">distinta </w:t>
      </w:r>
      <w:r w:rsidR="008469DB" w:rsidRPr="0080490E">
        <w:rPr>
          <w:rFonts w:asciiTheme="minorHAnsi" w:hAnsiTheme="minorHAnsi" w:cstheme="minorHAnsi"/>
          <w:szCs w:val="24"/>
        </w:rPr>
        <w:t>función representativa del token y la libertad del emisor en el diseño de</w:t>
      </w:r>
      <w:r w:rsidR="00D43F7D" w:rsidRPr="0080490E">
        <w:rPr>
          <w:rFonts w:asciiTheme="minorHAnsi" w:hAnsiTheme="minorHAnsi" w:cstheme="minorHAnsi"/>
          <w:szCs w:val="24"/>
        </w:rPr>
        <w:t>l negocio</w:t>
      </w:r>
      <w:r w:rsidR="008469DB" w:rsidRPr="0080490E">
        <w:rPr>
          <w:rFonts w:asciiTheme="minorHAnsi" w:hAnsiTheme="minorHAnsi" w:cstheme="minorHAnsi"/>
          <w:szCs w:val="24"/>
        </w:rPr>
        <w:t xml:space="preserve">. </w:t>
      </w:r>
      <w:r w:rsidR="00921BA1" w:rsidRPr="0080490E">
        <w:rPr>
          <w:rFonts w:asciiTheme="minorHAnsi" w:hAnsiTheme="minorHAnsi" w:cstheme="minorHAnsi"/>
          <w:szCs w:val="24"/>
        </w:rPr>
        <w:t xml:space="preserve">De ahí que </w:t>
      </w:r>
      <w:r w:rsidR="00506A67" w:rsidRPr="0080490E">
        <w:rPr>
          <w:rFonts w:asciiTheme="minorHAnsi" w:hAnsiTheme="minorHAnsi" w:cstheme="minorHAnsi"/>
          <w:szCs w:val="24"/>
        </w:rPr>
        <w:t>esos</w:t>
      </w:r>
      <w:r w:rsidR="00921BA1" w:rsidRPr="0080490E">
        <w:rPr>
          <w:rFonts w:asciiTheme="minorHAnsi" w:hAnsiTheme="minorHAnsi" w:cstheme="minorHAnsi"/>
          <w:szCs w:val="24"/>
        </w:rPr>
        <w:t xml:space="preserve"> criptoactivo</w:t>
      </w:r>
      <w:r w:rsidR="00506A67" w:rsidRPr="0080490E">
        <w:rPr>
          <w:rFonts w:asciiTheme="minorHAnsi" w:hAnsiTheme="minorHAnsi" w:cstheme="minorHAnsi"/>
          <w:szCs w:val="24"/>
        </w:rPr>
        <w:t>s</w:t>
      </w:r>
      <w:r w:rsidR="00921BA1" w:rsidRPr="0080490E">
        <w:rPr>
          <w:rFonts w:asciiTheme="minorHAnsi" w:hAnsiTheme="minorHAnsi" w:cstheme="minorHAnsi"/>
          <w:szCs w:val="24"/>
        </w:rPr>
        <w:t xml:space="preserve"> </w:t>
      </w:r>
      <w:r w:rsidR="00FC1785" w:rsidRPr="0080490E">
        <w:rPr>
          <w:rFonts w:asciiTheme="minorHAnsi" w:hAnsiTheme="minorHAnsi" w:cstheme="minorHAnsi"/>
          <w:szCs w:val="24"/>
        </w:rPr>
        <w:t>no represente</w:t>
      </w:r>
      <w:r w:rsidR="00506A67" w:rsidRPr="0080490E">
        <w:rPr>
          <w:rFonts w:asciiTheme="minorHAnsi" w:hAnsiTheme="minorHAnsi" w:cstheme="minorHAnsi"/>
          <w:szCs w:val="24"/>
        </w:rPr>
        <w:t>n</w:t>
      </w:r>
      <w:r w:rsidR="00FC1785" w:rsidRPr="0080490E">
        <w:rPr>
          <w:rFonts w:asciiTheme="minorHAnsi" w:hAnsiTheme="minorHAnsi" w:cstheme="minorHAnsi"/>
          <w:szCs w:val="24"/>
        </w:rPr>
        <w:t xml:space="preserve"> un derecho de crédito </w:t>
      </w:r>
      <w:r w:rsidR="00610B45" w:rsidRPr="0080490E">
        <w:rPr>
          <w:rFonts w:asciiTheme="minorHAnsi" w:hAnsiTheme="minorHAnsi" w:cstheme="minorHAnsi"/>
          <w:szCs w:val="24"/>
        </w:rPr>
        <w:t>vinculado</w:t>
      </w:r>
      <w:r w:rsidR="00FC1785" w:rsidRPr="0080490E">
        <w:rPr>
          <w:rFonts w:asciiTheme="minorHAnsi" w:hAnsiTheme="minorHAnsi" w:cstheme="minorHAnsi"/>
          <w:szCs w:val="24"/>
        </w:rPr>
        <w:t xml:space="preserve"> con la </w:t>
      </w:r>
      <w:r w:rsidR="002D7F6D" w:rsidRPr="0080490E">
        <w:rPr>
          <w:rFonts w:asciiTheme="minorHAnsi" w:hAnsiTheme="minorHAnsi" w:cstheme="minorHAnsi"/>
          <w:szCs w:val="24"/>
        </w:rPr>
        <w:t>rentabilidad del inmueble</w:t>
      </w:r>
      <w:r w:rsidR="00FC1785" w:rsidRPr="0080490E">
        <w:rPr>
          <w:rFonts w:asciiTheme="minorHAnsi" w:hAnsiTheme="minorHAnsi" w:cstheme="minorHAnsi"/>
          <w:szCs w:val="24"/>
        </w:rPr>
        <w:t xml:space="preserve"> sino</w:t>
      </w:r>
      <w:r w:rsidRPr="0080490E">
        <w:rPr>
          <w:rFonts w:asciiTheme="minorHAnsi" w:hAnsiTheme="minorHAnsi" w:cstheme="minorHAnsi"/>
          <w:szCs w:val="24"/>
        </w:rPr>
        <w:t xml:space="preserve"> la condición de</w:t>
      </w:r>
      <w:r w:rsidR="00D27EAC" w:rsidRPr="0080490E">
        <w:rPr>
          <w:rFonts w:asciiTheme="minorHAnsi" w:hAnsiTheme="minorHAnsi" w:cstheme="minorHAnsi"/>
          <w:szCs w:val="24"/>
        </w:rPr>
        <w:t xml:space="preserve">l </w:t>
      </w:r>
      <w:r w:rsidRPr="0080490E">
        <w:rPr>
          <w:rFonts w:asciiTheme="minorHAnsi" w:hAnsiTheme="minorHAnsi" w:cstheme="minorHAnsi"/>
          <w:szCs w:val="24"/>
        </w:rPr>
        <w:t xml:space="preserve">titular </w:t>
      </w:r>
      <w:r w:rsidR="00D27EAC" w:rsidRPr="0080490E">
        <w:rPr>
          <w:rFonts w:asciiTheme="minorHAnsi" w:hAnsiTheme="minorHAnsi" w:cstheme="minorHAnsi"/>
          <w:szCs w:val="24"/>
        </w:rPr>
        <w:t xml:space="preserve">del token </w:t>
      </w:r>
      <w:r w:rsidRPr="0080490E">
        <w:rPr>
          <w:rFonts w:asciiTheme="minorHAnsi" w:hAnsiTheme="minorHAnsi" w:cstheme="minorHAnsi"/>
          <w:szCs w:val="24"/>
        </w:rPr>
        <w:t xml:space="preserve">como parte en </w:t>
      </w:r>
      <w:r w:rsidR="00D43F7D" w:rsidRPr="0080490E">
        <w:rPr>
          <w:rFonts w:asciiTheme="minorHAnsi" w:hAnsiTheme="minorHAnsi" w:cstheme="minorHAnsi"/>
          <w:szCs w:val="24"/>
        </w:rPr>
        <w:t>el</w:t>
      </w:r>
      <w:r w:rsidRPr="0080490E">
        <w:rPr>
          <w:rFonts w:asciiTheme="minorHAnsi" w:hAnsiTheme="minorHAnsi" w:cstheme="minorHAnsi"/>
          <w:szCs w:val="24"/>
        </w:rPr>
        <w:t xml:space="preserve"> contrato, como </w:t>
      </w:r>
      <w:r w:rsidR="00617D7C" w:rsidRPr="0080490E">
        <w:rPr>
          <w:rFonts w:asciiTheme="minorHAnsi" w:hAnsiTheme="minorHAnsi" w:cstheme="minorHAnsi"/>
          <w:szCs w:val="24"/>
        </w:rPr>
        <w:t>inversor</w:t>
      </w:r>
      <w:r w:rsidRPr="0080490E">
        <w:rPr>
          <w:rFonts w:asciiTheme="minorHAnsi" w:hAnsiTheme="minorHAnsi" w:cstheme="minorHAnsi"/>
          <w:szCs w:val="24"/>
        </w:rPr>
        <w:t xml:space="preserve"> </w:t>
      </w:r>
      <w:r w:rsidR="00D43F7D" w:rsidRPr="0080490E">
        <w:rPr>
          <w:rFonts w:asciiTheme="minorHAnsi" w:hAnsiTheme="minorHAnsi" w:cstheme="minorHAnsi"/>
          <w:szCs w:val="24"/>
        </w:rPr>
        <w:t>del</w:t>
      </w:r>
      <w:r w:rsidRPr="0080490E">
        <w:rPr>
          <w:rFonts w:asciiTheme="minorHAnsi" w:hAnsiTheme="minorHAnsi" w:cstheme="minorHAnsi"/>
          <w:szCs w:val="24"/>
        </w:rPr>
        <w:t xml:space="preserve"> proyecto y su </w:t>
      </w:r>
      <w:r w:rsidR="00D43F7D" w:rsidRPr="0080490E">
        <w:rPr>
          <w:rFonts w:asciiTheme="minorHAnsi" w:hAnsiTheme="minorHAnsi" w:cstheme="minorHAnsi"/>
          <w:szCs w:val="24"/>
        </w:rPr>
        <w:t xml:space="preserve">posición </w:t>
      </w:r>
      <w:r w:rsidRPr="0080490E">
        <w:rPr>
          <w:rFonts w:asciiTheme="minorHAnsi" w:hAnsiTheme="minorHAnsi" w:cstheme="minorHAnsi"/>
          <w:szCs w:val="24"/>
        </w:rPr>
        <w:t xml:space="preserve">en el </w:t>
      </w:r>
      <w:proofErr w:type="spellStart"/>
      <w:r w:rsidRPr="0080490E">
        <w:rPr>
          <w:rFonts w:asciiTheme="minorHAnsi" w:hAnsiTheme="minorHAnsi" w:cstheme="minorHAnsi"/>
          <w:i/>
          <w:iCs/>
          <w:szCs w:val="24"/>
        </w:rPr>
        <w:t>smart</w:t>
      </w:r>
      <w:proofErr w:type="spellEnd"/>
      <w:r w:rsidRPr="0080490E">
        <w:rPr>
          <w:rFonts w:asciiTheme="minorHAnsi" w:hAnsiTheme="minorHAnsi" w:cstheme="minorHAnsi"/>
          <w:i/>
          <w:iCs/>
          <w:szCs w:val="24"/>
        </w:rPr>
        <w:t xml:space="preserve"> </w:t>
      </w:r>
      <w:proofErr w:type="spellStart"/>
      <w:r w:rsidRPr="0080490E">
        <w:rPr>
          <w:rFonts w:asciiTheme="minorHAnsi" w:hAnsiTheme="minorHAnsi" w:cstheme="minorHAnsi"/>
          <w:i/>
          <w:iCs/>
          <w:szCs w:val="24"/>
        </w:rPr>
        <w:t>contract</w:t>
      </w:r>
      <w:proofErr w:type="spellEnd"/>
      <w:r w:rsidRPr="0080490E">
        <w:rPr>
          <w:rFonts w:asciiTheme="minorHAnsi" w:hAnsiTheme="minorHAnsi" w:cstheme="minorHAnsi"/>
          <w:szCs w:val="24"/>
        </w:rPr>
        <w:t xml:space="preserve"> </w:t>
      </w:r>
      <w:r w:rsidR="00A87225" w:rsidRPr="0080490E">
        <w:rPr>
          <w:rFonts w:asciiTheme="minorHAnsi" w:hAnsiTheme="minorHAnsi" w:cstheme="minorHAnsi"/>
          <w:szCs w:val="24"/>
        </w:rPr>
        <w:t>que distribuye</w:t>
      </w:r>
      <w:r w:rsidRPr="0080490E">
        <w:rPr>
          <w:rFonts w:asciiTheme="minorHAnsi" w:hAnsiTheme="minorHAnsi" w:cstheme="minorHAnsi"/>
          <w:szCs w:val="24"/>
        </w:rPr>
        <w:t xml:space="preserve"> los beneficios</w:t>
      </w:r>
      <w:r w:rsidR="00A87225" w:rsidRPr="0080490E">
        <w:rPr>
          <w:rFonts w:asciiTheme="minorHAnsi" w:hAnsiTheme="minorHAnsi" w:cstheme="minorHAnsi"/>
          <w:szCs w:val="24"/>
        </w:rPr>
        <w:t xml:space="preserve"> de forma automatizada</w:t>
      </w:r>
      <w:r w:rsidRPr="0080490E">
        <w:rPr>
          <w:rFonts w:asciiTheme="minorHAnsi" w:hAnsiTheme="minorHAnsi" w:cstheme="minorHAnsi"/>
          <w:szCs w:val="24"/>
        </w:rPr>
        <w:t xml:space="preserve">. Por lo tanto, </w:t>
      </w:r>
      <w:r w:rsidR="002C17B7" w:rsidRPr="0080490E">
        <w:rPr>
          <w:rFonts w:asciiTheme="minorHAnsi" w:hAnsiTheme="minorHAnsi" w:cstheme="minorHAnsi"/>
          <w:szCs w:val="24"/>
        </w:rPr>
        <w:t xml:space="preserve">si </w:t>
      </w:r>
      <w:r w:rsidRPr="0080490E">
        <w:rPr>
          <w:rFonts w:asciiTheme="minorHAnsi" w:hAnsiTheme="minorHAnsi" w:cstheme="minorHAnsi"/>
          <w:szCs w:val="24"/>
        </w:rPr>
        <w:t>el token no representa un derecho de crédito asociado a una inversión</w:t>
      </w:r>
      <w:r w:rsidR="004853A1" w:rsidRPr="0080490E">
        <w:rPr>
          <w:rFonts w:asciiTheme="minorHAnsi" w:hAnsiTheme="minorHAnsi" w:cstheme="minorHAnsi"/>
          <w:szCs w:val="24"/>
        </w:rPr>
        <w:t>,</w:t>
      </w:r>
      <w:r w:rsidRPr="0080490E">
        <w:rPr>
          <w:rFonts w:asciiTheme="minorHAnsi" w:hAnsiTheme="minorHAnsi" w:cstheme="minorHAnsi"/>
          <w:szCs w:val="24"/>
        </w:rPr>
        <w:t xml:space="preserve"> </w:t>
      </w:r>
      <w:r w:rsidR="00E7751E" w:rsidRPr="0080490E">
        <w:rPr>
          <w:rFonts w:asciiTheme="minorHAnsi" w:hAnsiTheme="minorHAnsi" w:cstheme="minorHAnsi"/>
          <w:szCs w:val="24"/>
        </w:rPr>
        <w:t>no constituye</w:t>
      </w:r>
      <w:r w:rsidRPr="0080490E">
        <w:rPr>
          <w:rFonts w:asciiTheme="minorHAnsi" w:hAnsiTheme="minorHAnsi" w:cstheme="minorHAnsi"/>
          <w:szCs w:val="24"/>
        </w:rPr>
        <w:t xml:space="preserve"> un </w:t>
      </w:r>
      <w:proofErr w:type="spellStart"/>
      <w:r w:rsidRPr="0080490E">
        <w:rPr>
          <w:rFonts w:asciiTheme="minorHAnsi" w:hAnsiTheme="minorHAnsi" w:cstheme="minorHAnsi"/>
          <w:i/>
          <w:iCs/>
          <w:szCs w:val="24"/>
        </w:rPr>
        <w:t>security</w:t>
      </w:r>
      <w:proofErr w:type="spellEnd"/>
      <w:r w:rsidRPr="0080490E">
        <w:rPr>
          <w:rFonts w:asciiTheme="minorHAnsi" w:hAnsiTheme="minorHAnsi" w:cstheme="minorHAnsi"/>
          <w:i/>
          <w:iCs/>
          <w:szCs w:val="24"/>
        </w:rPr>
        <w:t xml:space="preserve"> token</w:t>
      </w:r>
      <w:r w:rsidRPr="0080490E">
        <w:rPr>
          <w:rFonts w:asciiTheme="minorHAnsi" w:hAnsiTheme="minorHAnsi" w:cstheme="minorHAnsi"/>
          <w:szCs w:val="24"/>
        </w:rPr>
        <w:t xml:space="preserve"> </w:t>
      </w:r>
      <w:r w:rsidR="004853A1" w:rsidRPr="0080490E">
        <w:rPr>
          <w:rFonts w:asciiTheme="minorHAnsi" w:hAnsiTheme="minorHAnsi" w:cstheme="minorHAnsi"/>
          <w:szCs w:val="24"/>
        </w:rPr>
        <w:t>según</w:t>
      </w:r>
      <w:r w:rsidR="008E6B00" w:rsidRPr="0080490E">
        <w:rPr>
          <w:rFonts w:asciiTheme="minorHAnsi" w:hAnsiTheme="minorHAnsi" w:cstheme="minorHAnsi"/>
          <w:szCs w:val="24"/>
        </w:rPr>
        <w:t xml:space="preserve"> la interpretación de la CNMV </w:t>
      </w:r>
      <w:r w:rsidR="004853A1" w:rsidRPr="0080490E">
        <w:rPr>
          <w:rFonts w:asciiTheme="minorHAnsi" w:hAnsiTheme="minorHAnsi" w:cstheme="minorHAnsi"/>
          <w:szCs w:val="24"/>
        </w:rPr>
        <w:t>ni</w:t>
      </w:r>
      <w:r w:rsidRPr="0080490E">
        <w:rPr>
          <w:rFonts w:asciiTheme="minorHAnsi" w:hAnsiTheme="minorHAnsi" w:cstheme="minorHAnsi"/>
          <w:szCs w:val="24"/>
        </w:rPr>
        <w:t xml:space="preserve"> </w:t>
      </w:r>
      <w:r w:rsidR="00E7751E" w:rsidRPr="0080490E">
        <w:rPr>
          <w:rFonts w:asciiTheme="minorHAnsi" w:hAnsiTheme="minorHAnsi" w:cstheme="minorHAnsi"/>
          <w:szCs w:val="24"/>
        </w:rPr>
        <w:t>quedar</w:t>
      </w:r>
      <w:r w:rsidR="007707A9" w:rsidRPr="0080490E">
        <w:rPr>
          <w:rFonts w:asciiTheme="minorHAnsi" w:hAnsiTheme="minorHAnsi" w:cstheme="minorHAnsi"/>
          <w:szCs w:val="24"/>
        </w:rPr>
        <w:t>á</w:t>
      </w:r>
      <w:r w:rsidRPr="0080490E">
        <w:rPr>
          <w:rFonts w:asciiTheme="minorHAnsi" w:hAnsiTheme="minorHAnsi" w:cstheme="minorHAnsi"/>
          <w:szCs w:val="24"/>
        </w:rPr>
        <w:t xml:space="preserve"> sometido a la regulación de</w:t>
      </w:r>
      <w:r w:rsidR="001B7B21" w:rsidRPr="0080490E">
        <w:rPr>
          <w:rFonts w:asciiTheme="minorHAnsi" w:hAnsiTheme="minorHAnsi" w:cstheme="minorHAnsi"/>
          <w:szCs w:val="24"/>
        </w:rPr>
        <w:t>l mercado de valores</w:t>
      </w:r>
      <w:r w:rsidRPr="0080490E">
        <w:rPr>
          <w:rFonts w:asciiTheme="minorHAnsi" w:hAnsiTheme="minorHAnsi" w:cstheme="minorHAnsi"/>
          <w:szCs w:val="24"/>
        </w:rPr>
        <w:t>.</w:t>
      </w:r>
    </w:p>
    <w:p w14:paraId="009E5DE5" w14:textId="6737A16C" w:rsidR="004E33A4" w:rsidRPr="0080490E" w:rsidRDefault="00011341"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Además, la distinción </w:t>
      </w:r>
      <w:r w:rsidR="00AD13A5" w:rsidRPr="0080490E">
        <w:rPr>
          <w:rFonts w:asciiTheme="minorHAnsi" w:hAnsiTheme="minorHAnsi" w:cstheme="minorHAnsi"/>
          <w:szCs w:val="24"/>
        </w:rPr>
        <w:t xml:space="preserve">con los valores </w:t>
      </w:r>
      <w:r w:rsidR="0033303F" w:rsidRPr="0080490E">
        <w:rPr>
          <w:rFonts w:asciiTheme="minorHAnsi" w:hAnsiTheme="minorHAnsi" w:cstheme="minorHAnsi"/>
          <w:szCs w:val="24"/>
        </w:rPr>
        <w:t>negociable</w:t>
      </w:r>
      <w:r w:rsidR="00AD13A5" w:rsidRPr="0080490E">
        <w:rPr>
          <w:rFonts w:asciiTheme="minorHAnsi" w:hAnsiTheme="minorHAnsi" w:cstheme="minorHAnsi"/>
          <w:szCs w:val="24"/>
        </w:rPr>
        <w:t xml:space="preserve">s </w:t>
      </w:r>
      <w:r w:rsidRPr="0080490E">
        <w:rPr>
          <w:rFonts w:asciiTheme="minorHAnsi" w:hAnsiTheme="minorHAnsi" w:cstheme="minorHAnsi"/>
          <w:szCs w:val="24"/>
        </w:rPr>
        <w:t>será aún más clara si el token presenta restricciones a su transferencia a terceros</w:t>
      </w:r>
      <w:r w:rsidR="007707A9" w:rsidRPr="0080490E">
        <w:rPr>
          <w:rFonts w:asciiTheme="minorHAnsi" w:hAnsiTheme="minorHAnsi" w:cstheme="minorHAnsi"/>
          <w:szCs w:val="24"/>
        </w:rPr>
        <w:t xml:space="preserve">. Cabe recordar que la transmisión generalizada </w:t>
      </w:r>
      <w:r w:rsidR="00775398" w:rsidRPr="0080490E">
        <w:rPr>
          <w:rFonts w:asciiTheme="minorHAnsi" w:hAnsiTheme="minorHAnsi" w:cstheme="minorHAnsi"/>
          <w:szCs w:val="24"/>
        </w:rPr>
        <w:t xml:space="preserve">e impersonal </w:t>
      </w:r>
      <w:r w:rsidR="007707A9" w:rsidRPr="0080490E">
        <w:rPr>
          <w:rFonts w:asciiTheme="minorHAnsi" w:hAnsiTheme="minorHAnsi" w:cstheme="minorHAnsi"/>
          <w:szCs w:val="24"/>
        </w:rPr>
        <w:t>es una característica de los valores negociables, precisamente, para «garantizar la circulación rápida y segura de los derechos de forma que su transmisión no se vea sometida a las normas de la cesión de créditos y demás derechos incorporales»</w:t>
      </w:r>
      <w:r w:rsidR="007707A9" w:rsidRPr="0080490E">
        <w:rPr>
          <w:rStyle w:val="Refdenotaalpie"/>
          <w:rFonts w:asciiTheme="minorHAnsi" w:hAnsiTheme="minorHAnsi" w:cstheme="minorHAnsi"/>
          <w:szCs w:val="24"/>
        </w:rPr>
        <w:footnoteReference w:id="75"/>
      </w:r>
      <w:r w:rsidR="007707A9" w:rsidRPr="0080490E">
        <w:rPr>
          <w:rFonts w:asciiTheme="minorHAnsi" w:hAnsiTheme="minorHAnsi" w:cstheme="minorHAnsi"/>
          <w:szCs w:val="24"/>
        </w:rPr>
        <w:t xml:space="preserve">. Por ello, excluir esta transmisibilidad cualificada y limitarla a las </w:t>
      </w:r>
      <w:r w:rsidR="006F725F" w:rsidRPr="0080490E">
        <w:rPr>
          <w:rFonts w:asciiTheme="minorHAnsi" w:hAnsiTheme="minorHAnsi" w:cstheme="minorHAnsi"/>
          <w:szCs w:val="24"/>
        </w:rPr>
        <w:t>c</w:t>
      </w:r>
      <w:r w:rsidR="007707A9" w:rsidRPr="0080490E">
        <w:rPr>
          <w:rFonts w:asciiTheme="minorHAnsi" w:hAnsiTheme="minorHAnsi" w:cstheme="minorHAnsi"/>
          <w:szCs w:val="24"/>
        </w:rPr>
        <w:t>esi</w:t>
      </w:r>
      <w:r w:rsidR="006F725F" w:rsidRPr="0080490E">
        <w:rPr>
          <w:rFonts w:asciiTheme="minorHAnsi" w:hAnsiTheme="minorHAnsi" w:cstheme="minorHAnsi"/>
          <w:szCs w:val="24"/>
        </w:rPr>
        <w:t>o</w:t>
      </w:r>
      <w:r w:rsidR="007707A9" w:rsidRPr="0080490E">
        <w:rPr>
          <w:rFonts w:asciiTheme="minorHAnsi" w:hAnsiTheme="minorHAnsi" w:cstheme="minorHAnsi"/>
          <w:szCs w:val="24"/>
        </w:rPr>
        <w:t>n</w:t>
      </w:r>
      <w:r w:rsidR="006F725F" w:rsidRPr="0080490E">
        <w:rPr>
          <w:rFonts w:asciiTheme="minorHAnsi" w:hAnsiTheme="minorHAnsi" w:cstheme="minorHAnsi"/>
          <w:szCs w:val="24"/>
        </w:rPr>
        <w:t>es</w:t>
      </w:r>
      <w:r w:rsidR="007707A9" w:rsidRPr="0080490E">
        <w:rPr>
          <w:rFonts w:asciiTheme="minorHAnsi" w:hAnsiTheme="minorHAnsi" w:cstheme="minorHAnsi"/>
          <w:szCs w:val="24"/>
        </w:rPr>
        <w:t xml:space="preserve"> de contrato supondrá </w:t>
      </w:r>
      <w:r w:rsidR="00045F0C" w:rsidRPr="0080490E">
        <w:rPr>
          <w:rFonts w:asciiTheme="minorHAnsi" w:hAnsiTheme="minorHAnsi" w:cstheme="minorHAnsi"/>
          <w:szCs w:val="24"/>
        </w:rPr>
        <w:t xml:space="preserve">rechazar la condición de valor negociable del token y </w:t>
      </w:r>
      <w:r w:rsidR="007707A9" w:rsidRPr="0080490E">
        <w:rPr>
          <w:rFonts w:asciiTheme="minorHAnsi" w:hAnsiTheme="minorHAnsi" w:cstheme="minorHAnsi"/>
          <w:szCs w:val="24"/>
        </w:rPr>
        <w:t>un alejamiento de la normativa del mercado de valores.</w:t>
      </w:r>
    </w:p>
    <w:p w14:paraId="2C83D98D" w14:textId="14E5EEF6" w:rsidR="00666B5A" w:rsidRPr="0080490E" w:rsidRDefault="00666B5A"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Si</w:t>
      </w:r>
      <w:r w:rsidR="00B00B2B" w:rsidRPr="0080490E">
        <w:rPr>
          <w:rFonts w:asciiTheme="minorHAnsi" w:hAnsiTheme="minorHAnsi" w:cstheme="minorHAnsi"/>
          <w:szCs w:val="24"/>
        </w:rPr>
        <w:t>,</w:t>
      </w:r>
      <w:r w:rsidRPr="0080490E">
        <w:rPr>
          <w:rFonts w:asciiTheme="minorHAnsi" w:hAnsiTheme="minorHAnsi" w:cstheme="minorHAnsi"/>
          <w:szCs w:val="24"/>
        </w:rPr>
        <w:t xml:space="preserve"> </w:t>
      </w:r>
      <w:r w:rsidR="00B00B2B" w:rsidRPr="0080490E">
        <w:rPr>
          <w:rFonts w:asciiTheme="minorHAnsi" w:hAnsiTheme="minorHAnsi" w:cstheme="minorHAnsi"/>
          <w:szCs w:val="24"/>
        </w:rPr>
        <w:t xml:space="preserve">sobre la base de la autonomía de la voluntad, </w:t>
      </w:r>
      <w:r w:rsidRPr="0080490E">
        <w:rPr>
          <w:rFonts w:asciiTheme="minorHAnsi" w:hAnsiTheme="minorHAnsi" w:cstheme="minorHAnsi"/>
          <w:szCs w:val="24"/>
        </w:rPr>
        <w:t xml:space="preserve">el token representa el contrato de inversión, </w:t>
      </w:r>
      <w:r w:rsidR="00B00B2B" w:rsidRPr="0080490E">
        <w:rPr>
          <w:rFonts w:asciiTheme="minorHAnsi" w:hAnsiTheme="minorHAnsi" w:cstheme="minorHAnsi"/>
          <w:szCs w:val="24"/>
        </w:rPr>
        <w:t>su</w:t>
      </w:r>
      <w:r w:rsidRPr="0080490E">
        <w:rPr>
          <w:rFonts w:asciiTheme="minorHAnsi" w:hAnsiTheme="minorHAnsi" w:cstheme="minorHAnsi"/>
          <w:szCs w:val="24"/>
        </w:rPr>
        <w:t xml:space="preserve"> </w:t>
      </w:r>
      <w:r w:rsidR="004B6074" w:rsidRPr="0080490E">
        <w:rPr>
          <w:rFonts w:asciiTheme="minorHAnsi" w:hAnsiTheme="minorHAnsi" w:cstheme="minorHAnsi"/>
          <w:szCs w:val="24"/>
        </w:rPr>
        <w:t>transmisión</w:t>
      </w:r>
      <w:r w:rsidRPr="0080490E">
        <w:rPr>
          <w:rFonts w:asciiTheme="minorHAnsi" w:hAnsiTheme="minorHAnsi" w:cstheme="minorHAnsi"/>
          <w:szCs w:val="24"/>
        </w:rPr>
        <w:t xml:space="preserve"> </w:t>
      </w:r>
      <w:r w:rsidR="00B00B2B" w:rsidRPr="0080490E">
        <w:rPr>
          <w:rFonts w:asciiTheme="minorHAnsi" w:hAnsiTheme="minorHAnsi" w:cstheme="minorHAnsi"/>
          <w:szCs w:val="24"/>
        </w:rPr>
        <w:t xml:space="preserve">a un tercero </w:t>
      </w:r>
      <w:r w:rsidRPr="0080490E">
        <w:rPr>
          <w:rFonts w:asciiTheme="minorHAnsi" w:hAnsiTheme="minorHAnsi" w:cstheme="minorHAnsi"/>
          <w:szCs w:val="24"/>
        </w:rPr>
        <w:t>implica</w:t>
      </w:r>
      <w:r w:rsidR="00B00B2B" w:rsidRPr="0080490E">
        <w:rPr>
          <w:rFonts w:asciiTheme="minorHAnsi" w:hAnsiTheme="minorHAnsi" w:cstheme="minorHAnsi"/>
          <w:szCs w:val="24"/>
        </w:rPr>
        <w:t>rá</w:t>
      </w:r>
      <w:r w:rsidRPr="0080490E">
        <w:rPr>
          <w:rFonts w:asciiTheme="minorHAnsi" w:hAnsiTheme="minorHAnsi" w:cstheme="minorHAnsi"/>
          <w:szCs w:val="24"/>
        </w:rPr>
        <w:t xml:space="preserve"> </w:t>
      </w:r>
      <w:r w:rsidR="00B00B2B" w:rsidRPr="0080490E">
        <w:rPr>
          <w:rFonts w:asciiTheme="minorHAnsi" w:hAnsiTheme="minorHAnsi" w:cstheme="minorHAnsi"/>
          <w:szCs w:val="24"/>
        </w:rPr>
        <w:t>una</w:t>
      </w:r>
      <w:r w:rsidRPr="0080490E">
        <w:rPr>
          <w:rFonts w:asciiTheme="minorHAnsi" w:hAnsiTheme="minorHAnsi" w:cstheme="minorHAnsi"/>
          <w:szCs w:val="24"/>
        </w:rPr>
        <w:t xml:space="preserve"> cesión de</w:t>
      </w:r>
      <w:r w:rsidR="00B00B2B" w:rsidRPr="0080490E">
        <w:rPr>
          <w:rFonts w:asciiTheme="minorHAnsi" w:hAnsiTheme="minorHAnsi" w:cstheme="minorHAnsi"/>
          <w:szCs w:val="24"/>
        </w:rPr>
        <w:t xml:space="preserve"> posición </w:t>
      </w:r>
      <w:r w:rsidRPr="0080490E">
        <w:rPr>
          <w:rFonts w:asciiTheme="minorHAnsi" w:hAnsiTheme="minorHAnsi" w:cstheme="minorHAnsi"/>
          <w:szCs w:val="24"/>
        </w:rPr>
        <w:t>contra</w:t>
      </w:r>
      <w:r w:rsidR="00B00B2B" w:rsidRPr="0080490E">
        <w:rPr>
          <w:rFonts w:asciiTheme="minorHAnsi" w:hAnsiTheme="minorHAnsi" w:cstheme="minorHAnsi"/>
          <w:szCs w:val="24"/>
        </w:rPr>
        <w:t>ctual</w:t>
      </w:r>
      <w:r w:rsidRPr="0080490E">
        <w:rPr>
          <w:rFonts w:asciiTheme="minorHAnsi" w:hAnsiTheme="minorHAnsi" w:cstheme="minorHAnsi"/>
          <w:szCs w:val="24"/>
        </w:rPr>
        <w:t xml:space="preserve">. </w:t>
      </w:r>
      <w:r w:rsidR="00B00B2B" w:rsidRPr="0080490E">
        <w:rPr>
          <w:rFonts w:asciiTheme="minorHAnsi" w:hAnsiTheme="minorHAnsi" w:cstheme="minorHAnsi"/>
          <w:szCs w:val="24"/>
        </w:rPr>
        <w:t xml:space="preserve">Aunque el token </w:t>
      </w:r>
      <w:r w:rsidR="00D9223C" w:rsidRPr="0080490E">
        <w:rPr>
          <w:rFonts w:asciiTheme="minorHAnsi" w:hAnsiTheme="minorHAnsi" w:cstheme="minorHAnsi"/>
          <w:szCs w:val="24"/>
        </w:rPr>
        <w:t>pudiera</w:t>
      </w:r>
      <w:r w:rsidR="00150331" w:rsidRPr="0080490E">
        <w:rPr>
          <w:rFonts w:asciiTheme="minorHAnsi" w:hAnsiTheme="minorHAnsi" w:cstheme="minorHAnsi"/>
          <w:szCs w:val="24"/>
        </w:rPr>
        <w:t xml:space="preserve"> </w:t>
      </w:r>
      <w:r w:rsidR="00B00B2B" w:rsidRPr="0080490E">
        <w:rPr>
          <w:rFonts w:asciiTheme="minorHAnsi" w:hAnsiTheme="minorHAnsi" w:cstheme="minorHAnsi"/>
          <w:szCs w:val="24"/>
        </w:rPr>
        <w:t>transmi</w:t>
      </w:r>
      <w:r w:rsidR="00775398" w:rsidRPr="0080490E">
        <w:rPr>
          <w:rFonts w:asciiTheme="minorHAnsi" w:hAnsiTheme="minorHAnsi" w:cstheme="minorHAnsi"/>
          <w:szCs w:val="24"/>
        </w:rPr>
        <w:t>ti</w:t>
      </w:r>
      <w:r w:rsidR="00D9223C" w:rsidRPr="0080490E">
        <w:rPr>
          <w:rFonts w:asciiTheme="minorHAnsi" w:hAnsiTheme="minorHAnsi" w:cstheme="minorHAnsi"/>
          <w:szCs w:val="24"/>
        </w:rPr>
        <w:t>rse</w:t>
      </w:r>
      <w:r w:rsidR="00B00B2B" w:rsidRPr="0080490E">
        <w:rPr>
          <w:rFonts w:asciiTheme="minorHAnsi" w:hAnsiTheme="minorHAnsi" w:cstheme="minorHAnsi"/>
          <w:szCs w:val="24"/>
        </w:rPr>
        <w:t xml:space="preserve"> en la cadena de bloques, e</w:t>
      </w:r>
      <w:r w:rsidRPr="0080490E">
        <w:rPr>
          <w:rFonts w:asciiTheme="minorHAnsi" w:hAnsiTheme="minorHAnsi" w:cstheme="minorHAnsi"/>
          <w:szCs w:val="24"/>
        </w:rPr>
        <w:t>l principio de neutralidad tecnológica</w:t>
      </w:r>
      <w:r w:rsidR="00B00B2B" w:rsidRPr="0080490E">
        <w:rPr>
          <w:rFonts w:asciiTheme="minorHAnsi" w:hAnsiTheme="minorHAnsi" w:cstheme="minorHAnsi"/>
          <w:szCs w:val="24"/>
        </w:rPr>
        <w:t xml:space="preserve"> determina que </w:t>
      </w:r>
      <w:r w:rsidRPr="0080490E">
        <w:rPr>
          <w:rFonts w:asciiTheme="minorHAnsi" w:hAnsiTheme="minorHAnsi" w:cstheme="minorHAnsi"/>
          <w:szCs w:val="24"/>
        </w:rPr>
        <w:t xml:space="preserve">la tokenización no </w:t>
      </w:r>
      <w:r w:rsidR="00B00B2B" w:rsidRPr="0080490E">
        <w:rPr>
          <w:rFonts w:asciiTheme="minorHAnsi" w:hAnsiTheme="minorHAnsi" w:cstheme="minorHAnsi"/>
          <w:szCs w:val="24"/>
        </w:rPr>
        <w:t>altera la naturaleza jurídica de lo representado. Por consiguiente, tokeniza</w:t>
      </w:r>
      <w:r w:rsidR="006215E7" w:rsidRPr="0080490E">
        <w:rPr>
          <w:rFonts w:asciiTheme="minorHAnsi" w:hAnsiTheme="minorHAnsi" w:cstheme="minorHAnsi"/>
          <w:szCs w:val="24"/>
        </w:rPr>
        <w:t>r el contrato</w:t>
      </w:r>
      <w:r w:rsidR="00B00B2B" w:rsidRPr="0080490E">
        <w:rPr>
          <w:rFonts w:asciiTheme="minorHAnsi" w:hAnsiTheme="minorHAnsi" w:cstheme="minorHAnsi"/>
          <w:szCs w:val="24"/>
        </w:rPr>
        <w:t xml:space="preserve"> no permite</w:t>
      </w:r>
      <w:r w:rsidRPr="0080490E">
        <w:rPr>
          <w:rFonts w:asciiTheme="minorHAnsi" w:hAnsiTheme="minorHAnsi" w:cstheme="minorHAnsi"/>
          <w:szCs w:val="24"/>
        </w:rPr>
        <w:t xml:space="preserve"> eludi</w:t>
      </w:r>
      <w:r w:rsidR="00B00B2B" w:rsidRPr="0080490E">
        <w:rPr>
          <w:rFonts w:asciiTheme="minorHAnsi" w:hAnsiTheme="minorHAnsi" w:cstheme="minorHAnsi"/>
          <w:szCs w:val="24"/>
        </w:rPr>
        <w:t>r</w:t>
      </w:r>
      <w:r w:rsidRPr="0080490E">
        <w:rPr>
          <w:rFonts w:asciiTheme="minorHAnsi" w:hAnsiTheme="minorHAnsi" w:cstheme="minorHAnsi"/>
          <w:szCs w:val="24"/>
        </w:rPr>
        <w:t xml:space="preserve"> los requisitos de </w:t>
      </w:r>
      <w:r w:rsidR="00B00B2B" w:rsidRPr="0080490E">
        <w:rPr>
          <w:rFonts w:asciiTheme="minorHAnsi" w:hAnsiTheme="minorHAnsi" w:cstheme="minorHAnsi"/>
          <w:szCs w:val="24"/>
        </w:rPr>
        <w:t xml:space="preserve">la </w:t>
      </w:r>
      <w:r w:rsidRPr="0080490E">
        <w:rPr>
          <w:rFonts w:asciiTheme="minorHAnsi" w:hAnsiTheme="minorHAnsi" w:cstheme="minorHAnsi"/>
          <w:szCs w:val="24"/>
        </w:rPr>
        <w:t>cesión de contratos</w:t>
      </w:r>
      <w:r w:rsidR="00B00B2B" w:rsidRPr="0080490E">
        <w:rPr>
          <w:rFonts w:asciiTheme="minorHAnsi" w:hAnsiTheme="minorHAnsi" w:cstheme="minorHAnsi"/>
          <w:szCs w:val="24"/>
        </w:rPr>
        <w:t xml:space="preserve"> que </w:t>
      </w:r>
      <w:r w:rsidR="00150331" w:rsidRPr="0080490E">
        <w:rPr>
          <w:rFonts w:asciiTheme="minorHAnsi" w:hAnsiTheme="minorHAnsi" w:cstheme="minorHAnsi"/>
          <w:szCs w:val="24"/>
        </w:rPr>
        <w:t xml:space="preserve">impone </w:t>
      </w:r>
      <w:r w:rsidR="00B00B2B" w:rsidRPr="0080490E">
        <w:rPr>
          <w:rFonts w:asciiTheme="minorHAnsi" w:hAnsiTheme="minorHAnsi" w:cstheme="minorHAnsi"/>
          <w:szCs w:val="24"/>
        </w:rPr>
        <w:t>un acuerdo trilateral entre el promotor, el titular del token y el nuevo adquirente</w:t>
      </w:r>
      <w:r w:rsidR="004B6074" w:rsidRPr="0080490E">
        <w:rPr>
          <w:rStyle w:val="Refdenotaalpie"/>
          <w:rFonts w:asciiTheme="minorHAnsi" w:hAnsiTheme="minorHAnsi" w:cstheme="minorHAnsi"/>
          <w:szCs w:val="24"/>
        </w:rPr>
        <w:footnoteReference w:id="76"/>
      </w:r>
      <w:r w:rsidRPr="0080490E">
        <w:rPr>
          <w:rFonts w:asciiTheme="minorHAnsi" w:hAnsiTheme="minorHAnsi" w:cstheme="minorHAnsi"/>
          <w:szCs w:val="24"/>
        </w:rPr>
        <w:t>.</w:t>
      </w:r>
    </w:p>
    <w:p w14:paraId="59954433" w14:textId="540D22A4" w:rsidR="005B1291" w:rsidRPr="0080490E" w:rsidRDefault="00172D92"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La formalización convencional de</w:t>
      </w:r>
      <w:r w:rsidR="00666B5A" w:rsidRPr="0080490E">
        <w:rPr>
          <w:rFonts w:asciiTheme="minorHAnsi" w:hAnsiTheme="minorHAnsi" w:cstheme="minorHAnsi"/>
          <w:szCs w:val="24"/>
        </w:rPr>
        <w:t>l</w:t>
      </w:r>
      <w:r w:rsidRPr="0080490E">
        <w:rPr>
          <w:rFonts w:asciiTheme="minorHAnsi" w:hAnsiTheme="minorHAnsi" w:cstheme="minorHAnsi"/>
          <w:szCs w:val="24"/>
        </w:rPr>
        <w:t xml:space="preserve"> contrato subyacente como </w:t>
      </w:r>
      <w:proofErr w:type="spellStart"/>
      <w:r w:rsidRPr="0080490E">
        <w:rPr>
          <w:rFonts w:asciiTheme="minorHAnsi" w:hAnsiTheme="minorHAnsi" w:cstheme="minorHAnsi"/>
          <w:i/>
          <w:iCs/>
          <w:szCs w:val="24"/>
        </w:rPr>
        <w:t>intuitu</w:t>
      </w:r>
      <w:proofErr w:type="spellEnd"/>
      <w:r w:rsidRPr="0080490E">
        <w:rPr>
          <w:rFonts w:asciiTheme="minorHAnsi" w:hAnsiTheme="minorHAnsi" w:cstheme="minorHAnsi"/>
          <w:i/>
          <w:iCs/>
          <w:szCs w:val="24"/>
        </w:rPr>
        <w:t xml:space="preserve"> </w:t>
      </w:r>
      <w:proofErr w:type="spellStart"/>
      <w:r w:rsidRPr="0080490E">
        <w:rPr>
          <w:rFonts w:asciiTheme="minorHAnsi" w:hAnsiTheme="minorHAnsi" w:cstheme="minorHAnsi"/>
          <w:i/>
          <w:iCs/>
          <w:szCs w:val="24"/>
        </w:rPr>
        <w:t>personae</w:t>
      </w:r>
      <w:proofErr w:type="spellEnd"/>
      <w:r w:rsidRPr="0080490E">
        <w:rPr>
          <w:rFonts w:asciiTheme="minorHAnsi" w:hAnsiTheme="minorHAnsi" w:cstheme="minorHAnsi"/>
          <w:szCs w:val="24"/>
        </w:rPr>
        <w:t xml:space="preserve"> permite prohibi</w:t>
      </w:r>
      <w:r w:rsidR="00150331" w:rsidRPr="0080490E">
        <w:rPr>
          <w:rFonts w:asciiTheme="minorHAnsi" w:hAnsiTheme="minorHAnsi" w:cstheme="minorHAnsi"/>
          <w:szCs w:val="24"/>
        </w:rPr>
        <w:t>r</w:t>
      </w:r>
      <w:r w:rsidRPr="0080490E">
        <w:rPr>
          <w:rFonts w:asciiTheme="minorHAnsi" w:hAnsiTheme="minorHAnsi" w:cstheme="minorHAnsi"/>
          <w:szCs w:val="24"/>
        </w:rPr>
        <w:t xml:space="preserve"> </w:t>
      </w:r>
      <w:r w:rsidR="00150331" w:rsidRPr="0080490E">
        <w:rPr>
          <w:rFonts w:asciiTheme="minorHAnsi" w:hAnsiTheme="minorHAnsi" w:cstheme="minorHAnsi"/>
          <w:szCs w:val="24"/>
        </w:rPr>
        <w:t xml:space="preserve">al inversor </w:t>
      </w:r>
      <w:r w:rsidRPr="0080490E">
        <w:rPr>
          <w:rFonts w:asciiTheme="minorHAnsi" w:hAnsiTheme="minorHAnsi" w:cstheme="minorHAnsi"/>
          <w:szCs w:val="24"/>
        </w:rPr>
        <w:t>ce</w:t>
      </w:r>
      <w:r w:rsidR="00150331" w:rsidRPr="0080490E">
        <w:rPr>
          <w:rFonts w:asciiTheme="minorHAnsi" w:hAnsiTheme="minorHAnsi" w:cstheme="minorHAnsi"/>
          <w:szCs w:val="24"/>
        </w:rPr>
        <w:t>der</w:t>
      </w:r>
      <w:r w:rsidRPr="0080490E">
        <w:rPr>
          <w:rFonts w:asciiTheme="minorHAnsi" w:hAnsiTheme="minorHAnsi" w:cstheme="minorHAnsi"/>
          <w:szCs w:val="24"/>
        </w:rPr>
        <w:t xml:space="preserve"> </w:t>
      </w:r>
      <w:r w:rsidR="00150331" w:rsidRPr="0080490E">
        <w:rPr>
          <w:rFonts w:asciiTheme="minorHAnsi" w:hAnsiTheme="minorHAnsi" w:cstheme="minorHAnsi"/>
          <w:szCs w:val="24"/>
        </w:rPr>
        <w:t>su</w:t>
      </w:r>
      <w:r w:rsidRPr="0080490E">
        <w:rPr>
          <w:rFonts w:asciiTheme="minorHAnsi" w:hAnsiTheme="minorHAnsi" w:cstheme="minorHAnsi"/>
          <w:szCs w:val="24"/>
        </w:rPr>
        <w:t xml:space="preserve"> posición contractual</w:t>
      </w:r>
      <w:r w:rsidR="00FD7218" w:rsidRPr="0080490E">
        <w:rPr>
          <w:rStyle w:val="Refdenotaalpie"/>
          <w:rFonts w:asciiTheme="minorHAnsi" w:hAnsiTheme="minorHAnsi" w:cstheme="minorHAnsi"/>
          <w:szCs w:val="24"/>
        </w:rPr>
        <w:footnoteReference w:id="77"/>
      </w:r>
      <w:r w:rsidRPr="0080490E">
        <w:rPr>
          <w:rFonts w:asciiTheme="minorHAnsi" w:hAnsiTheme="minorHAnsi" w:cstheme="minorHAnsi"/>
          <w:szCs w:val="24"/>
        </w:rPr>
        <w:t>.</w:t>
      </w:r>
      <w:r w:rsidR="005B1291" w:rsidRPr="0080490E">
        <w:rPr>
          <w:rFonts w:asciiTheme="minorHAnsi" w:hAnsiTheme="minorHAnsi" w:cstheme="minorHAnsi"/>
          <w:szCs w:val="24"/>
        </w:rPr>
        <w:t xml:space="preserve"> </w:t>
      </w:r>
      <w:r w:rsidR="009A302C" w:rsidRPr="0080490E">
        <w:rPr>
          <w:rFonts w:asciiTheme="minorHAnsi" w:hAnsiTheme="minorHAnsi" w:cstheme="minorHAnsi"/>
          <w:szCs w:val="24"/>
        </w:rPr>
        <w:t>Asimismo, l</w:t>
      </w:r>
      <w:r w:rsidR="00B724EE" w:rsidRPr="0080490E">
        <w:rPr>
          <w:rFonts w:asciiTheme="minorHAnsi" w:hAnsiTheme="minorHAnsi" w:cstheme="minorHAnsi"/>
          <w:szCs w:val="24"/>
        </w:rPr>
        <w:t xml:space="preserve">as restricciones a la transmisión del token son coherentes con la imposición de protocolos de verificación de </w:t>
      </w:r>
      <w:r w:rsidR="00B724EE" w:rsidRPr="0080490E">
        <w:rPr>
          <w:rFonts w:asciiTheme="minorHAnsi" w:hAnsiTheme="minorHAnsi" w:cstheme="minorHAnsi"/>
          <w:szCs w:val="24"/>
        </w:rPr>
        <w:lastRenderedPageBreak/>
        <w:t xml:space="preserve">la identidad o </w:t>
      </w:r>
      <w:proofErr w:type="spellStart"/>
      <w:r w:rsidR="00B724EE" w:rsidRPr="0080490E">
        <w:rPr>
          <w:rFonts w:asciiTheme="minorHAnsi" w:hAnsiTheme="minorHAnsi" w:cstheme="minorHAnsi"/>
          <w:i/>
          <w:szCs w:val="24"/>
        </w:rPr>
        <w:t>know</w:t>
      </w:r>
      <w:proofErr w:type="spellEnd"/>
      <w:r w:rsidR="00B724EE" w:rsidRPr="0080490E">
        <w:rPr>
          <w:rFonts w:asciiTheme="minorHAnsi" w:hAnsiTheme="minorHAnsi" w:cstheme="minorHAnsi"/>
          <w:i/>
          <w:szCs w:val="24"/>
        </w:rPr>
        <w:t xml:space="preserve"> </w:t>
      </w:r>
      <w:proofErr w:type="spellStart"/>
      <w:r w:rsidR="00B724EE" w:rsidRPr="0080490E">
        <w:rPr>
          <w:rFonts w:asciiTheme="minorHAnsi" w:hAnsiTheme="minorHAnsi" w:cstheme="minorHAnsi"/>
          <w:i/>
          <w:szCs w:val="24"/>
        </w:rPr>
        <w:t>your</w:t>
      </w:r>
      <w:proofErr w:type="spellEnd"/>
      <w:r w:rsidR="00B724EE" w:rsidRPr="0080490E">
        <w:rPr>
          <w:rFonts w:asciiTheme="minorHAnsi" w:hAnsiTheme="minorHAnsi" w:cstheme="minorHAnsi"/>
          <w:i/>
          <w:szCs w:val="24"/>
        </w:rPr>
        <w:t xml:space="preserve"> </w:t>
      </w:r>
      <w:proofErr w:type="spellStart"/>
      <w:r w:rsidR="00B724EE" w:rsidRPr="0080490E">
        <w:rPr>
          <w:rFonts w:asciiTheme="minorHAnsi" w:hAnsiTheme="minorHAnsi" w:cstheme="minorHAnsi"/>
          <w:i/>
          <w:szCs w:val="24"/>
        </w:rPr>
        <w:t>costumer</w:t>
      </w:r>
      <w:proofErr w:type="spellEnd"/>
      <w:r w:rsidR="00B724EE" w:rsidRPr="0080490E">
        <w:rPr>
          <w:rFonts w:asciiTheme="minorHAnsi" w:hAnsiTheme="minorHAnsi" w:cstheme="minorHAnsi"/>
          <w:szCs w:val="24"/>
        </w:rPr>
        <w:t xml:space="preserve"> por las entidades de inversión. Estos protocolos exigen la identificación personal de quienes </w:t>
      </w:r>
      <w:r w:rsidR="009A302C" w:rsidRPr="0080490E">
        <w:rPr>
          <w:rFonts w:asciiTheme="minorHAnsi" w:hAnsiTheme="minorHAnsi" w:cstheme="minorHAnsi"/>
          <w:szCs w:val="24"/>
        </w:rPr>
        <w:t>actúan</w:t>
      </w:r>
      <w:r w:rsidR="00B724EE" w:rsidRPr="0080490E">
        <w:rPr>
          <w:rFonts w:asciiTheme="minorHAnsi" w:hAnsiTheme="minorHAnsi" w:cstheme="minorHAnsi"/>
          <w:szCs w:val="24"/>
        </w:rPr>
        <w:t xml:space="preserve"> en blockchain, con el objetivo de mitigar </w:t>
      </w:r>
      <w:r w:rsidR="009A302C" w:rsidRPr="0080490E">
        <w:rPr>
          <w:rFonts w:asciiTheme="minorHAnsi" w:hAnsiTheme="minorHAnsi" w:cstheme="minorHAnsi"/>
          <w:szCs w:val="24"/>
        </w:rPr>
        <w:t>su</w:t>
      </w:r>
      <w:r w:rsidR="00B724EE" w:rsidRPr="0080490E">
        <w:rPr>
          <w:rFonts w:asciiTheme="minorHAnsi" w:hAnsiTheme="minorHAnsi" w:cstheme="minorHAnsi"/>
          <w:szCs w:val="24"/>
        </w:rPr>
        <w:t xml:space="preserve"> pseudonimia y opacidad</w:t>
      </w:r>
      <w:r w:rsidR="004673FC" w:rsidRPr="0080490E">
        <w:rPr>
          <w:rFonts w:asciiTheme="minorHAnsi" w:hAnsiTheme="minorHAnsi" w:cstheme="minorHAnsi"/>
          <w:szCs w:val="24"/>
        </w:rPr>
        <w:t xml:space="preserve"> legal y fiscal</w:t>
      </w:r>
      <w:r w:rsidR="00B724EE" w:rsidRPr="0080490E">
        <w:rPr>
          <w:rFonts w:asciiTheme="minorHAnsi" w:hAnsiTheme="minorHAnsi" w:cstheme="minorHAnsi"/>
          <w:szCs w:val="24"/>
        </w:rPr>
        <w:t xml:space="preserve">. </w:t>
      </w:r>
      <w:r w:rsidR="00DA5B45" w:rsidRPr="0080490E">
        <w:rPr>
          <w:rFonts w:asciiTheme="minorHAnsi" w:hAnsiTheme="minorHAnsi" w:cstheme="minorHAnsi"/>
          <w:szCs w:val="24"/>
        </w:rPr>
        <w:t>L</w:t>
      </w:r>
      <w:r w:rsidR="00877EB3" w:rsidRPr="0080490E">
        <w:rPr>
          <w:rFonts w:asciiTheme="minorHAnsi" w:hAnsiTheme="minorHAnsi" w:cstheme="minorHAnsi"/>
          <w:szCs w:val="24"/>
        </w:rPr>
        <w:t>as</w:t>
      </w:r>
      <w:r w:rsidR="005B1291" w:rsidRPr="0080490E">
        <w:rPr>
          <w:rFonts w:asciiTheme="minorHAnsi" w:hAnsiTheme="minorHAnsi" w:cstheme="minorHAnsi"/>
          <w:szCs w:val="24"/>
        </w:rPr>
        <w:t xml:space="preserve"> </w:t>
      </w:r>
      <w:r w:rsidR="00877EB3" w:rsidRPr="0080490E">
        <w:rPr>
          <w:rFonts w:asciiTheme="minorHAnsi" w:hAnsiTheme="minorHAnsi" w:cstheme="minorHAnsi"/>
          <w:szCs w:val="24"/>
        </w:rPr>
        <w:t>prohibiciones convencionales de cesión de</w:t>
      </w:r>
      <w:r w:rsidR="00F969DD" w:rsidRPr="0080490E">
        <w:rPr>
          <w:rFonts w:asciiTheme="minorHAnsi" w:hAnsiTheme="minorHAnsi" w:cstheme="minorHAnsi"/>
          <w:szCs w:val="24"/>
        </w:rPr>
        <w:t>l</w:t>
      </w:r>
      <w:r w:rsidR="00877EB3" w:rsidRPr="0080490E">
        <w:rPr>
          <w:rFonts w:asciiTheme="minorHAnsi" w:hAnsiTheme="minorHAnsi" w:cstheme="minorHAnsi"/>
          <w:szCs w:val="24"/>
        </w:rPr>
        <w:t xml:space="preserve"> contrato</w:t>
      </w:r>
      <w:r w:rsidR="005B1291" w:rsidRPr="0080490E">
        <w:rPr>
          <w:rFonts w:asciiTheme="minorHAnsi" w:hAnsiTheme="minorHAnsi" w:cstheme="minorHAnsi"/>
          <w:szCs w:val="24"/>
        </w:rPr>
        <w:t xml:space="preserve"> determina</w:t>
      </w:r>
      <w:r w:rsidR="00DA5B45" w:rsidRPr="0080490E">
        <w:rPr>
          <w:rFonts w:asciiTheme="minorHAnsi" w:hAnsiTheme="minorHAnsi" w:cstheme="minorHAnsi"/>
          <w:szCs w:val="24"/>
        </w:rPr>
        <w:t>n</w:t>
      </w:r>
      <w:r w:rsidR="005B1291" w:rsidRPr="0080490E">
        <w:rPr>
          <w:rFonts w:asciiTheme="minorHAnsi" w:hAnsiTheme="minorHAnsi" w:cstheme="minorHAnsi"/>
          <w:szCs w:val="24"/>
        </w:rPr>
        <w:t xml:space="preserve"> </w:t>
      </w:r>
      <w:r w:rsidR="00877EB3" w:rsidRPr="0080490E">
        <w:rPr>
          <w:rFonts w:asciiTheme="minorHAnsi" w:hAnsiTheme="minorHAnsi" w:cstheme="minorHAnsi"/>
          <w:szCs w:val="24"/>
        </w:rPr>
        <w:t>la</w:t>
      </w:r>
      <w:r w:rsidR="005B1291" w:rsidRPr="0080490E">
        <w:rPr>
          <w:rFonts w:asciiTheme="minorHAnsi" w:hAnsiTheme="minorHAnsi" w:cstheme="minorHAnsi"/>
          <w:szCs w:val="24"/>
        </w:rPr>
        <w:t xml:space="preserve"> nulidad </w:t>
      </w:r>
      <w:r w:rsidR="00877EB3" w:rsidRPr="0080490E">
        <w:rPr>
          <w:rFonts w:asciiTheme="minorHAnsi" w:hAnsiTheme="minorHAnsi" w:cstheme="minorHAnsi"/>
          <w:i/>
          <w:iCs/>
          <w:szCs w:val="24"/>
        </w:rPr>
        <w:t>off</w:t>
      </w:r>
      <w:r w:rsidR="00185C3E" w:rsidRPr="0080490E">
        <w:rPr>
          <w:rFonts w:asciiTheme="minorHAnsi" w:hAnsiTheme="minorHAnsi" w:cstheme="minorHAnsi"/>
          <w:i/>
          <w:iCs/>
          <w:szCs w:val="24"/>
        </w:rPr>
        <w:t xml:space="preserve"> </w:t>
      </w:r>
      <w:proofErr w:type="spellStart"/>
      <w:r w:rsidR="00877EB3" w:rsidRPr="0080490E">
        <w:rPr>
          <w:rFonts w:asciiTheme="minorHAnsi" w:hAnsiTheme="minorHAnsi" w:cstheme="minorHAnsi"/>
          <w:i/>
          <w:iCs/>
          <w:szCs w:val="24"/>
        </w:rPr>
        <w:t>chain</w:t>
      </w:r>
      <w:proofErr w:type="spellEnd"/>
      <w:r w:rsidR="00877EB3" w:rsidRPr="0080490E">
        <w:rPr>
          <w:rFonts w:asciiTheme="minorHAnsi" w:hAnsiTheme="minorHAnsi" w:cstheme="minorHAnsi"/>
          <w:szCs w:val="24"/>
        </w:rPr>
        <w:t xml:space="preserve"> de la transmisión del token </w:t>
      </w:r>
      <w:r w:rsidR="00F969DD" w:rsidRPr="0080490E">
        <w:rPr>
          <w:rFonts w:asciiTheme="minorHAnsi" w:hAnsiTheme="minorHAnsi" w:cstheme="minorHAnsi"/>
          <w:szCs w:val="24"/>
        </w:rPr>
        <w:t>cuando</w:t>
      </w:r>
      <w:r w:rsidR="00877EB3" w:rsidRPr="0080490E">
        <w:rPr>
          <w:rFonts w:asciiTheme="minorHAnsi" w:hAnsiTheme="minorHAnsi" w:cstheme="minorHAnsi"/>
          <w:szCs w:val="24"/>
        </w:rPr>
        <w:t xml:space="preserve"> </w:t>
      </w:r>
      <w:r w:rsidR="005B1291" w:rsidRPr="0080490E">
        <w:rPr>
          <w:rFonts w:asciiTheme="minorHAnsi" w:hAnsiTheme="minorHAnsi" w:cstheme="minorHAnsi"/>
          <w:szCs w:val="24"/>
        </w:rPr>
        <w:t>n</w:t>
      </w:r>
      <w:r w:rsidR="00877EB3" w:rsidRPr="0080490E">
        <w:rPr>
          <w:rFonts w:asciiTheme="minorHAnsi" w:hAnsiTheme="minorHAnsi" w:cstheme="minorHAnsi"/>
          <w:szCs w:val="24"/>
        </w:rPr>
        <w:t>o hay</w:t>
      </w:r>
      <w:r w:rsidR="00F969DD" w:rsidRPr="0080490E">
        <w:rPr>
          <w:rFonts w:asciiTheme="minorHAnsi" w:hAnsiTheme="minorHAnsi" w:cstheme="minorHAnsi"/>
          <w:szCs w:val="24"/>
        </w:rPr>
        <w:t>a</w:t>
      </w:r>
      <w:r w:rsidR="005B1291" w:rsidRPr="0080490E">
        <w:rPr>
          <w:rFonts w:asciiTheme="minorHAnsi" w:hAnsiTheme="minorHAnsi" w:cstheme="minorHAnsi"/>
          <w:szCs w:val="24"/>
        </w:rPr>
        <w:t xml:space="preserve"> autorización del promotor</w:t>
      </w:r>
      <w:r w:rsidR="00B724EE" w:rsidRPr="0080490E">
        <w:rPr>
          <w:rFonts w:asciiTheme="minorHAnsi" w:hAnsiTheme="minorHAnsi" w:cstheme="minorHAnsi"/>
          <w:szCs w:val="24"/>
        </w:rPr>
        <w:t xml:space="preserve">. </w:t>
      </w:r>
      <w:r w:rsidR="00B55C9F" w:rsidRPr="0080490E">
        <w:rPr>
          <w:rFonts w:asciiTheme="minorHAnsi" w:hAnsiTheme="minorHAnsi" w:cstheme="minorHAnsi"/>
          <w:szCs w:val="24"/>
        </w:rPr>
        <w:t xml:space="preserve">Ahora bien, puede ocurrir que las restricciones previstas en un </w:t>
      </w:r>
      <w:proofErr w:type="spellStart"/>
      <w:r w:rsidR="00B55C9F" w:rsidRPr="0080490E">
        <w:rPr>
          <w:rFonts w:asciiTheme="minorHAnsi" w:hAnsiTheme="minorHAnsi" w:cstheme="minorHAnsi"/>
          <w:i/>
          <w:iCs/>
          <w:szCs w:val="24"/>
        </w:rPr>
        <w:t>smart</w:t>
      </w:r>
      <w:proofErr w:type="spellEnd"/>
      <w:r w:rsidR="00B55C9F" w:rsidRPr="0080490E">
        <w:rPr>
          <w:rFonts w:asciiTheme="minorHAnsi" w:hAnsiTheme="minorHAnsi" w:cstheme="minorHAnsi"/>
          <w:i/>
          <w:iCs/>
          <w:szCs w:val="24"/>
        </w:rPr>
        <w:t xml:space="preserve"> </w:t>
      </w:r>
      <w:proofErr w:type="spellStart"/>
      <w:r w:rsidR="00B55C9F" w:rsidRPr="0080490E">
        <w:rPr>
          <w:rFonts w:asciiTheme="minorHAnsi" w:hAnsiTheme="minorHAnsi" w:cstheme="minorHAnsi"/>
          <w:i/>
          <w:iCs/>
          <w:szCs w:val="24"/>
        </w:rPr>
        <w:t>contract</w:t>
      </w:r>
      <w:proofErr w:type="spellEnd"/>
      <w:r w:rsidR="00B55C9F" w:rsidRPr="0080490E">
        <w:rPr>
          <w:rFonts w:asciiTheme="minorHAnsi" w:hAnsiTheme="minorHAnsi" w:cstheme="minorHAnsi"/>
          <w:szCs w:val="24"/>
        </w:rPr>
        <w:t xml:space="preserve"> constituyan auténticas limitaciones técnicas que impidan </w:t>
      </w:r>
      <w:r w:rsidR="00B71C8C" w:rsidRPr="0080490E">
        <w:rPr>
          <w:rFonts w:asciiTheme="minorHAnsi" w:hAnsiTheme="minorHAnsi" w:cstheme="minorHAnsi"/>
          <w:szCs w:val="24"/>
        </w:rPr>
        <w:t xml:space="preserve">la </w:t>
      </w:r>
      <w:r w:rsidR="006F29FF" w:rsidRPr="0080490E">
        <w:rPr>
          <w:rFonts w:asciiTheme="minorHAnsi" w:hAnsiTheme="minorHAnsi" w:cstheme="minorHAnsi"/>
          <w:szCs w:val="24"/>
        </w:rPr>
        <w:t xml:space="preserve">propia </w:t>
      </w:r>
      <w:r w:rsidR="00B71C8C" w:rsidRPr="0080490E">
        <w:rPr>
          <w:rFonts w:asciiTheme="minorHAnsi" w:hAnsiTheme="minorHAnsi" w:cstheme="minorHAnsi"/>
          <w:szCs w:val="24"/>
        </w:rPr>
        <w:t>transferencia del</w:t>
      </w:r>
      <w:r w:rsidR="00B55C9F" w:rsidRPr="0080490E">
        <w:rPr>
          <w:rFonts w:asciiTheme="minorHAnsi" w:hAnsiTheme="minorHAnsi" w:cstheme="minorHAnsi"/>
          <w:szCs w:val="24"/>
        </w:rPr>
        <w:t xml:space="preserve"> token</w:t>
      </w:r>
      <w:r w:rsidR="00B55C9F" w:rsidRPr="0080490E">
        <w:rPr>
          <w:rStyle w:val="Refdenotaalpie"/>
          <w:rFonts w:asciiTheme="minorHAnsi" w:hAnsiTheme="minorHAnsi" w:cstheme="minorHAnsi"/>
          <w:szCs w:val="24"/>
        </w:rPr>
        <w:footnoteReference w:id="78"/>
      </w:r>
      <w:r w:rsidR="00B55C9F" w:rsidRPr="0080490E">
        <w:rPr>
          <w:rFonts w:asciiTheme="minorHAnsi" w:hAnsiTheme="minorHAnsi" w:cstheme="minorHAnsi"/>
          <w:szCs w:val="24"/>
        </w:rPr>
        <w:t xml:space="preserve">. </w:t>
      </w:r>
      <w:r w:rsidR="00B724EE" w:rsidRPr="0080490E">
        <w:rPr>
          <w:rFonts w:asciiTheme="minorHAnsi" w:hAnsiTheme="minorHAnsi" w:cstheme="minorHAnsi"/>
          <w:szCs w:val="24"/>
        </w:rPr>
        <w:t>En cambio, cuando exista ese acuerdo trilateral, la cesión</w:t>
      </w:r>
      <w:r w:rsidR="00877EB3" w:rsidRPr="0080490E">
        <w:rPr>
          <w:rFonts w:asciiTheme="minorHAnsi" w:hAnsiTheme="minorHAnsi" w:cstheme="minorHAnsi"/>
          <w:szCs w:val="24"/>
        </w:rPr>
        <w:t xml:space="preserve"> será plenamente </w:t>
      </w:r>
      <w:r w:rsidR="00E611BF" w:rsidRPr="0080490E">
        <w:rPr>
          <w:rFonts w:asciiTheme="minorHAnsi" w:hAnsiTheme="minorHAnsi" w:cstheme="minorHAnsi"/>
          <w:szCs w:val="24"/>
        </w:rPr>
        <w:t>eficaz</w:t>
      </w:r>
      <w:r w:rsidR="00B724EE" w:rsidRPr="0080490E">
        <w:rPr>
          <w:rFonts w:asciiTheme="minorHAnsi" w:hAnsiTheme="minorHAnsi" w:cstheme="minorHAnsi"/>
          <w:szCs w:val="24"/>
        </w:rPr>
        <w:t>.</w:t>
      </w:r>
    </w:p>
    <w:p w14:paraId="054F648A" w14:textId="3C4F4911" w:rsidR="004B6074" w:rsidRPr="0080490E" w:rsidRDefault="00BD6F06"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C</w:t>
      </w:r>
      <w:r w:rsidR="00A64103" w:rsidRPr="0080490E">
        <w:rPr>
          <w:rFonts w:asciiTheme="minorHAnsi" w:hAnsiTheme="minorHAnsi" w:cstheme="minorHAnsi"/>
          <w:szCs w:val="24"/>
        </w:rPr>
        <w:t xml:space="preserve">on el fin de simplificar la circulación del token y los </w:t>
      </w:r>
      <w:r w:rsidR="00081FCC" w:rsidRPr="0080490E">
        <w:rPr>
          <w:rFonts w:asciiTheme="minorHAnsi" w:hAnsiTheme="minorHAnsi" w:cstheme="minorHAnsi"/>
          <w:szCs w:val="24"/>
        </w:rPr>
        <w:t>requisitos</w:t>
      </w:r>
      <w:r w:rsidRPr="0080490E">
        <w:rPr>
          <w:rFonts w:asciiTheme="minorHAnsi" w:hAnsiTheme="minorHAnsi" w:cstheme="minorHAnsi"/>
          <w:szCs w:val="24"/>
        </w:rPr>
        <w:t xml:space="preserve"> </w:t>
      </w:r>
      <w:r w:rsidR="00A64103" w:rsidRPr="0080490E">
        <w:rPr>
          <w:rFonts w:asciiTheme="minorHAnsi" w:hAnsiTheme="minorHAnsi" w:cstheme="minorHAnsi"/>
          <w:szCs w:val="24"/>
        </w:rPr>
        <w:t xml:space="preserve">para la </w:t>
      </w:r>
      <w:r w:rsidR="00081FCC" w:rsidRPr="0080490E">
        <w:rPr>
          <w:rFonts w:asciiTheme="minorHAnsi" w:hAnsiTheme="minorHAnsi" w:cstheme="minorHAnsi"/>
          <w:szCs w:val="24"/>
        </w:rPr>
        <w:t xml:space="preserve">válida </w:t>
      </w:r>
      <w:r w:rsidR="00A64103" w:rsidRPr="0080490E">
        <w:rPr>
          <w:rFonts w:asciiTheme="minorHAnsi" w:hAnsiTheme="minorHAnsi" w:cstheme="minorHAnsi"/>
          <w:szCs w:val="24"/>
        </w:rPr>
        <w:t>cesión de</w:t>
      </w:r>
      <w:r w:rsidR="00737B40" w:rsidRPr="0080490E">
        <w:rPr>
          <w:rFonts w:asciiTheme="minorHAnsi" w:hAnsiTheme="minorHAnsi" w:cstheme="minorHAnsi"/>
          <w:szCs w:val="24"/>
        </w:rPr>
        <w:t>l</w:t>
      </w:r>
      <w:r w:rsidR="00A64103" w:rsidRPr="0080490E">
        <w:rPr>
          <w:rFonts w:asciiTheme="minorHAnsi" w:hAnsiTheme="minorHAnsi" w:cstheme="minorHAnsi"/>
          <w:szCs w:val="24"/>
        </w:rPr>
        <w:t xml:space="preserve"> contrato, el promotor puede establecer un </w:t>
      </w:r>
      <w:proofErr w:type="spellStart"/>
      <w:r w:rsidR="00A64103" w:rsidRPr="0080490E">
        <w:rPr>
          <w:rFonts w:asciiTheme="minorHAnsi" w:hAnsiTheme="minorHAnsi" w:cstheme="minorHAnsi"/>
          <w:i/>
          <w:iCs/>
          <w:szCs w:val="24"/>
        </w:rPr>
        <w:t>marketplace</w:t>
      </w:r>
      <w:proofErr w:type="spellEnd"/>
      <w:r w:rsidR="00A64103" w:rsidRPr="0080490E">
        <w:rPr>
          <w:rFonts w:asciiTheme="minorHAnsi" w:hAnsiTheme="minorHAnsi" w:cstheme="minorHAnsi"/>
          <w:szCs w:val="24"/>
        </w:rPr>
        <w:t xml:space="preserve"> cerrado en el que los participantes deban</w:t>
      </w:r>
      <w:r w:rsidR="00DE7E52" w:rsidRPr="0080490E">
        <w:rPr>
          <w:rFonts w:asciiTheme="minorHAnsi" w:hAnsiTheme="minorHAnsi" w:cstheme="minorHAnsi"/>
          <w:szCs w:val="24"/>
        </w:rPr>
        <w:t>, previamente,</w:t>
      </w:r>
      <w:r w:rsidR="00A64103" w:rsidRPr="0080490E">
        <w:rPr>
          <w:rFonts w:asciiTheme="minorHAnsi" w:hAnsiTheme="minorHAnsi" w:cstheme="minorHAnsi"/>
          <w:szCs w:val="24"/>
        </w:rPr>
        <w:t xml:space="preserve"> cumplir</w:t>
      </w:r>
      <w:r w:rsidR="00DE7E52" w:rsidRPr="0080490E">
        <w:rPr>
          <w:rFonts w:asciiTheme="minorHAnsi" w:hAnsiTheme="minorHAnsi" w:cstheme="minorHAnsi"/>
          <w:szCs w:val="24"/>
        </w:rPr>
        <w:t xml:space="preserve"> </w:t>
      </w:r>
      <w:r w:rsidR="00A64103" w:rsidRPr="0080490E">
        <w:rPr>
          <w:rFonts w:asciiTheme="minorHAnsi" w:hAnsiTheme="minorHAnsi" w:cstheme="minorHAnsi"/>
          <w:szCs w:val="24"/>
        </w:rPr>
        <w:t xml:space="preserve">con los protocolos de verificación de identidad. </w:t>
      </w:r>
      <w:r w:rsidR="003D7EA7" w:rsidRPr="0080490E">
        <w:rPr>
          <w:rFonts w:asciiTheme="minorHAnsi" w:hAnsiTheme="minorHAnsi" w:cstheme="minorHAnsi"/>
          <w:szCs w:val="24"/>
        </w:rPr>
        <w:t xml:space="preserve">De esta manera, el promotor </w:t>
      </w:r>
      <w:r w:rsidR="004B6074" w:rsidRPr="0080490E">
        <w:rPr>
          <w:rFonts w:asciiTheme="minorHAnsi" w:hAnsiTheme="minorHAnsi" w:cstheme="minorHAnsi"/>
          <w:szCs w:val="24"/>
        </w:rPr>
        <w:t xml:space="preserve">puede </w:t>
      </w:r>
      <w:proofErr w:type="spellStart"/>
      <w:r w:rsidR="004B6074" w:rsidRPr="0080490E">
        <w:rPr>
          <w:rFonts w:asciiTheme="minorHAnsi" w:hAnsiTheme="minorHAnsi" w:cstheme="minorHAnsi"/>
          <w:szCs w:val="24"/>
        </w:rPr>
        <w:t>preautoriza</w:t>
      </w:r>
      <w:r w:rsidR="00A64103" w:rsidRPr="0080490E">
        <w:rPr>
          <w:rFonts w:asciiTheme="minorHAnsi" w:hAnsiTheme="minorHAnsi" w:cstheme="minorHAnsi"/>
          <w:szCs w:val="24"/>
        </w:rPr>
        <w:t>r</w:t>
      </w:r>
      <w:proofErr w:type="spellEnd"/>
      <w:r w:rsidR="004B6074" w:rsidRPr="0080490E">
        <w:rPr>
          <w:rFonts w:asciiTheme="minorHAnsi" w:hAnsiTheme="minorHAnsi" w:cstheme="minorHAnsi"/>
          <w:szCs w:val="24"/>
        </w:rPr>
        <w:t xml:space="preserve"> las cesiones a terceros realizadas en ese </w:t>
      </w:r>
      <w:r w:rsidR="00A64103" w:rsidRPr="0080490E">
        <w:rPr>
          <w:rFonts w:asciiTheme="minorHAnsi" w:hAnsiTheme="minorHAnsi" w:cstheme="minorHAnsi"/>
          <w:szCs w:val="24"/>
        </w:rPr>
        <w:t>mercado</w:t>
      </w:r>
      <w:r w:rsidR="004B6074" w:rsidRPr="0080490E">
        <w:rPr>
          <w:rFonts w:asciiTheme="minorHAnsi" w:hAnsiTheme="minorHAnsi" w:cstheme="minorHAnsi"/>
          <w:szCs w:val="24"/>
        </w:rPr>
        <w:t xml:space="preserve">, apoyándose en un </w:t>
      </w:r>
      <w:proofErr w:type="spellStart"/>
      <w:r w:rsidR="004B6074" w:rsidRPr="0080490E">
        <w:rPr>
          <w:rFonts w:asciiTheme="minorHAnsi" w:hAnsiTheme="minorHAnsi" w:cstheme="minorHAnsi"/>
          <w:i/>
          <w:iCs/>
          <w:szCs w:val="24"/>
        </w:rPr>
        <w:t>whitelist</w:t>
      </w:r>
      <w:proofErr w:type="spellEnd"/>
      <w:r w:rsidR="004B6074" w:rsidRPr="0080490E">
        <w:rPr>
          <w:rFonts w:asciiTheme="minorHAnsi" w:hAnsiTheme="minorHAnsi" w:cstheme="minorHAnsi"/>
          <w:i/>
          <w:iCs/>
          <w:szCs w:val="24"/>
        </w:rPr>
        <w:t xml:space="preserve"> </w:t>
      </w:r>
      <w:proofErr w:type="spellStart"/>
      <w:r w:rsidR="004B6074" w:rsidRPr="0080490E">
        <w:rPr>
          <w:rFonts w:asciiTheme="minorHAnsi" w:hAnsiTheme="minorHAnsi" w:cstheme="minorHAnsi"/>
          <w:i/>
          <w:iCs/>
          <w:szCs w:val="24"/>
        </w:rPr>
        <w:t>smart</w:t>
      </w:r>
      <w:proofErr w:type="spellEnd"/>
      <w:r w:rsidR="004B6074" w:rsidRPr="0080490E">
        <w:rPr>
          <w:rFonts w:asciiTheme="minorHAnsi" w:hAnsiTheme="minorHAnsi" w:cstheme="minorHAnsi"/>
          <w:i/>
          <w:iCs/>
          <w:szCs w:val="24"/>
        </w:rPr>
        <w:t xml:space="preserve"> </w:t>
      </w:r>
      <w:proofErr w:type="spellStart"/>
      <w:r w:rsidR="004B6074" w:rsidRPr="0080490E">
        <w:rPr>
          <w:rFonts w:asciiTheme="minorHAnsi" w:hAnsiTheme="minorHAnsi" w:cstheme="minorHAnsi"/>
          <w:i/>
          <w:iCs/>
          <w:szCs w:val="24"/>
        </w:rPr>
        <w:t>contract</w:t>
      </w:r>
      <w:proofErr w:type="spellEnd"/>
      <w:r w:rsidR="003D7EA7" w:rsidRPr="0080490E">
        <w:rPr>
          <w:rFonts w:asciiTheme="minorHAnsi" w:hAnsiTheme="minorHAnsi" w:cstheme="minorHAnsi"/>
          <w:szCs w:val="24"/>
        </w:rPr>
        <w:t>.</w:t>
      </w:r>
      <w:r w:rsidR="004B6074" w:rsidRPr="0080490E">
        <w:rPr>
          <w:rFonts w:asciiTheme="minorHAnsi" w:hAnsiTheme="minorHAnsi" w:cstheme="minorHAnsi"/>
          <w:szCs w:val="24"/>
        </w:rPr>
        <w:t xml:space="preserve"> </w:t>
      </w:r>
      <w:r w:rsidR="00AD2C13" w:rsidRPr="0080490E">
        <w:rPr>
          <w:rFonts w:asciiTheme="minorHAnsi" w:hAnsiTheme="minorHAnsi" w:cstheme="minorHAnsi"/>
          <w:szCs w:val="24"/>
        </w:rPr>
        <w:t>Aunque la percepción externa sea la transmisión de un token</w:t>
      </w:r>
      <w:r w:rsidR="00DC5D9F" w:rsidRPr="0080490E">
        <w:rPr>
          <w:rFonts w:asciiTheme="minorHAnsi" w:hAnsiTheme="minorHAnsi" w:cstheme="minorHAnsi"/>
          <w:szCs w:val="24"/>
        </w:rPr>
        <w:t xml:space="preserve"> de su titular inicial al nuevo adquirente</w:t>
      </w:r>
      <w:r w:rsidR="00AD2C13" w:rsidRPr="0080490E">
        <w:rPr>
          <w:rFonts w:asciiTheme="minorHAnsi" w:hAnsiTheme="minorHAnsi" w:cstheme="minorHAnsi"/>
          <w:szCs w:val="24"/>
        </w:rPr>
        <w:t xml:space="preserve">, jurídicamente </w:t>
      </w:r>
      <w:r w:rsidR="00CF5598" w:rsidRPr="0080490E">
        <w:rPr>
          <w:rFonts w:asciiTheme="minorHAnsi" w:hAnsiTheme="minorHAnsi" w:cstheme="minorHAnsi"/>
          <w:szCs w:val="24"/>
        </w:rPr>
        <w:t xml:space="preserve">la operación </w:t>
      </w:r>
      <w:r w:rsidR="00AD2C13" w:rsidRPr="0080490E">
        <w:rPr>
          <w:rFonts w:asciiTheme="minorHAnsi" w:hAnsiTheme="minorHAnsi" w:cstheme="minorHAnsi"/>
          <w:szCs w:val="24"/>
        </w:rPr>
        <w:t>supone una cesión de</w:t>
      </w:r>
      <w:r w:rsidR="00737B40" w:rsidRPr="0080490E">
        <w:rPr>
          <w:rFonts w:asciiTheme="minorHAnsi" w:hAnsiTheme="minorHAnsi" w:cstheme="minorHAnsi"/>
          <w:szCs w:val="24"/>
        </w:rPr>
        <w:t>l</w:t>
      </w:r>
      <w:r w:rsidR="00AD2C13" w:rsidRPr="0080490E">
        <w:rPr>
          <w:rFonts w:asciiTheme="minorHAnsi" w:hAnsiTheme="minorHAnsi" w:cstheme="minorHAnsi"/>
          <w:szCs w:val="24"/>
        </w:rPr>
        <w:t xml:space="preserve"> contrato fruto de un acuerdo trilateral forjado en un mercado </w:t>
      </w:r>
      <w:r w:rsidR="00AD2C13" w:rsidRPr="0080490E">
        <w:rPr>
          <w:rFonts w:asciiTheme="minorHAnsi" w:hAnsiTheme="minorHAnsi" w:cstheme="minorHAnsi"/>
          <w:i/>
          <w:iCs/>
          <w:szCs w:val="24"/>
        </w:rPr>
        <w:t>peer-</w:t>
      </w:r>
      <w:proofErr w:type="spellStart"/>
      <w:r w:rsidR="00AD2C13" w:rsidRPr="0080490E">
        <w:rPr>
          <w:rFonts w:asciiTheme="minorHAnsi" w:hAnsiTheme="minorHAnsi" w:cstheme="minorHAnsi"/>
          <w:i/>
          <w:iCs/>
          <w:szCs w:val="24"/>
        </w:rPr>
        <w:t>to</w:t>
      </w:r>
      <w:proofErr w:type="spellEnd"/>
      <w:r w:rsidR="00AD2C13" w:rsidRPr="0080490E">
        <w:rPr>
          <w:rFonts w:asciiTheme="minorHAnsi" w:hAnsiTheme="minorHAnsi" w:cstheme="minorHAnsi"/>
          <w:i/>
          <w:iCs/>
          <w:szCs w:val="24"/>
        </w:rPr>
        <w:t>-peer</w:t>
      </w:r>
      <w:r w:rsidR="004B6074" w:rsidRPr="0080490E">
        <w:rPr>
          <w:rFonts w:asciiTheme="minorHAnsi" w:hAnsiTheme="minorHAnsi" w:cstheme="minorHAnsi"/>
          <w:szCs w:val="24"/>
        </w:rPr>
        <w:t>. Esto es posible gracias al diseño de un mercado exclusivo para billeteras electrónicas previamente verificadas por el promotor</w:t>
      </w:r>
      <w:r w:rsidR="00E2475B" w:rsidRPr="0080490E">
        <w:rPr>
          <w:rFonts w:asciiTheme="minorHAnsi" w:hAnsiTheme="minorHAnsi" w:cstheme="minorHAnsi"/>
          <w:szCs w:val="24"/>
        </w:rPr>
        <w:t xml:space="preserve"> que tendrá, por tanto, </w:t>
      </w:r>
      <w:r w:rsidR="004B6074" w:rsidRPr="0080490E">
        <w:rPr>
          <w:rFonts w:asciiTheme="minorHAnsi" w:hAnsiTheme="minorHAnsi" w:cstheme="minorHAnsi"/>
          <w:szCs w:val="24"/>
        </w:rPr>
        <w:t>conocimiento de la identidad de</w:t>
      </w:r>
      <w:r w:rsidR="00E2475B" w:rsidRPr="0080490E">
        <w:rPr>
          <w:rFonts w:asciiTheme="minorHAnsi" w:hAnsiTheme="minorHAnsi" w:cstheme="minorHAnsi"/>
          <w:szCs w:val="24"/>
        </w:rPr>
        <w:t>l cedente y el cesionario</w:t>
      </w:r>
      <w:r w:rsidR="007424F4" w:rsidRPr="0080490E">
        <w:rPr>
          <w:rFonts w:asciiTheme="minorHAnsi" w:hAnsiTheme="minorHAnsi" w:cstheme="minorHAnsi"/>
          <w:szCs w:val="24"/>
        </w:rPr>
        <w:t xml:space="preserve"> antes de su acuerdo de cesión</w:t>
      </w:r>
      <w:r w:rsidR="00E2475B" w:rsidRPr="0080490E">
        <w:rPr>
          <w:rFonts w:asciiTheme="minorHAnsi" w:hAnsiTheme="minorHAnsi" w:cstheme="minorHAnsi"/>
          <w:szCs w:val="24"/>
        </w:rPr>
        <w:t>.</w:t>
      </w:r>
    </w:p>
    <w:p w14:paraId="2AEDF49A" w14:textId="21EF5A99" w:rsidR="00B5049D" w:rsidRPr="0080490E" w:rsidRDefault="00B33964"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lang w:eastAsia="es-ES_tradnl"/>
        </w:rPr>
        <w:t>Una vez expuesto lo anterior</w:t>
      </w:r>
      <w:r w:rsidR="00B5049D" w:rsidRPr="0080490E">
        <w:rPr>
          <w:rFonts w:asciiTheme="minorHAnsi" w:hAnsiTheme="minorHAnsi" w:cstheme="minorHAnsi"/>
          <w:szCs w:val="24"/>
          <w:lang w:eastAsia="es-ES_tradnl"/>
        </w:rPr>
        <w:t>, habría que plantear</w:t>
      </w:r>
      <w:r w:rsidR="00B72120" w:rsidRPr="0080490E">
        <w:rPr>
          <w:rFonts w:asciiTheme="minorHAnsi" w:hAnsiTheme="minorHAnsi" w:cstheme="minorHAnsi"/>
          <w:szCs w:val="24"/>
          <w:lang w:eastAsia="es-ES_tradnl"/>
        </w:rPr>
        <w:t>se</w:t>
      </w:r>
      <w:r w:rsidR="00B5049D" w:rsidRPr="0080490E">
        <w:rPr>
          <w:rFonts w:asciiTheme="minorHAnsi" w:hAnsiTheme="minorHAnsi" w:cstheme="minorHAnsi"/>
          <w:szCs w:val="24"/>
          <w:lang w:eastAsia="es-ES_tradnl"/>
        </w:rPr>
        <w:t xml:space="preserve"> </w:t>
      </w:r>
      <w:r w:rsidR="00E20747" w:rsidRPr="0080490E">
        <w:rPr>
          <w:rFonts w:asciiTheme="minorHAnsi" w:hAnsiTheme="minorHAnsi" w:cstheme="minorHAnsi"/>
          <w:szCs w:val="24"/>
          <w:lang w:eastAsia="es-ES_tradnl"/>
        </w:rPr>
        <w:t xml:space="preserve">si </w:t>
      </w:r>
      <w:r w:rsidR="00B5049D" w:rsidRPr="0080490E">
        <w:rPr>
          <w:rFonts w:asciiTheme="minorHAnsi" w:hAnsiTheme="minorHAnsi" w:cstheme="minorHAnsi"/>
          <w:szCs w:val="24"/>
          <w:lang w:eastAsia="es-ES_tradnl"/>
        </w:rPr>
        <w:t xml:space="preserve">la </w:t>
      </w:r>
      <w:r w:rsidR="00B5049D" w:rsidRPr="0080490E">
        <w:rPr>
          <w:rFonts w:asciiTheme="minorHAnsi" w:hAnsiTheme="minorHAnsi" w:cstheme="minorHAnsi"/>
          <w:szCs w:val="24"/>
        </w:rPr>
        <w:t xml:space="preserve">Directiva </w:t>
      </w:r>
      <w:proofErr w:type="spellStart"/>
      <w:r w:rsidR="00B5049D" w:rsidRPr="0080490E">
        <w:rPr>
          <w:rFonts w:asciiTheme="minorHAnsi" w:hAnsiTheme="minorHAnsi" w:cstheme="minorHAnsi"/>
          <w:szCs w:val="24"/>
        </w:rPr>
        <w:t>M</w:t>
      </w:r>
      <w:r w:rsidR="00B72120" w:rsidRPr="0080490E">
        <w:rPr>
          <w:rFonts w:asciiTheme="minorHAnsi" w:hAnsiTheme="minorHAnsi" w:cstheme="minorHAnsi"/>
          <w:szCs w:val="24"/>
        </w:rPr>
        <w:t>i</w:t>
      </w:r>
      <w:r w:rsidR="00B5049D" w:rsidRPr="0080490E">
        <w:rPr>
          <w:rFonts w:asciiTheme="minorHAnsi" w:hAnsiTheme="minorHAnsi" w:cstheme="minorHAnsi"/>
          <w:szCs w:val="24"/>
        </w:rPr>
        <w:t>FID</w:t>
      </w:r>
      <w:proofErr w:type="spellEnd"/>
      <w:r w:rsidR="00B5049D" w:rsidRPr="0080490E">
        <w:rPr>
          <w:rFonts w:asciiTheme="minorHAnsi" w:hAnsiTheme="minorHAnsi" w:cstheme="minorHAnsi"/>
          <w:szCs w:val="24"/>
        </w:rPr>
        <w:t xml:space="preserve"> II</w:t>
      </w:r>
      <w:r w:rsidR="00E20747" w:rsidRPr="0080490E">
        <w:rPr>
          <w:rFonts w:asciiTheme="minorHAnsi" w:hAnsiTheme="minorHAnsi" w:cstheme="minorHAnsi"/>
          <w:szCs w:val="24"/>
        </w:rPr>
        <w:t xml:space="preserve"> </w:t>
      </w:r>
      <w:r w:rsidRPr="0080490E">
        <w:rPr>
          <w:rFonts w:asciiTheme="minorHAnsi" w:hAnsiTheme="minorHAnsi" w:cstheme="minorHAnsi"/>
          <w:szCs w:val="24"/>
        </w:rPr>
        <w:t>resulta de aplicación</w:t>
      </w:r>
      <w:r w:rsidR="00B5049D" w:rsidRPr="0080490E">
        <w:rPr>
          <w:rFonts w:asciiTheme="minorHAnsi" w:hAnsiTheme="minorHAnsi" w:cstheme="minorHAnsi"/>
          <w:szCs w:val="24"/>
        </w:rPr>
        <w:t xml:space="preserve">. </w:t>
      </w:r>
      <w:r w:rsidR="00F56938" w:rsidRPr="0080490E">
        <w:rPr>
          <w:rFonts w:asciiTheme="minorHAnsi" w:hAnsiTheme="minorHAnsi" w:cstheme="minorHAnsi"/>
          <w:szCs w:val="24"/>
        </w:rPr>
        <w:t xml:space="preserve">Para ello, habría que ver si </w:t>
      </w:r>
      <w:r w:rsidRPr="0080490E">
        <w:rPr>
          <w:rFonts w:asciiTheme="minorHAnsi" w:hAnsiTheme="minorHAnsi" w:cstheme="minorHAnsi"/>
          <w:szCs w:val="24"/>
          <w:lang w:eastAsia="es-ES_tradnl"/>
        </w:rPr>
        <w:t>el</w:t>
      </w:r>
      <w:r w:rsidR="007E7C4F" w:rsidRPr="0080490E">
        <w:rPr>
          <w:rFonts w:asciiTheme="minorHAnsi" w:hAnsiTheme="minorHAnsi" w:cstheme="minorHAnsi"/>
          <w:szCs w:val="24"/>
          <w:lang w:eastAsia="es-ES_tradnl"/>
        </w:rPr>
        <w:t xml:space="preserve"> contrato</w:t>
      </w:r>
      <w:r w:rsidR="00E20747" w:rsidRPr="0080490E">
        <w:rPr>
          <w:rFonts w:asciiTheme="minorHAnsi" w:hAnsiTheme="minorHAnsi" w:cstheme="minorHAnsi"/>
          <w:szCs w:val="24"/>
          <w:lang w:eastAsia="es-ES_tradnl"/>
        </w:rPr>
        <w:t xml:space="preserve"> </w:t>
      </w:r>
      <w:r w:rsidR="00591513" w:rsidRPr="0080490E">
        <w:rPr>
          <w:rFonts w:asciiTheme="minorHAnsi" w:hAnsiTheme="minorHAnsi" w:cstheme="minorHAnsi"/>
          <w:szCs w:val="24"/>
          <w:lang w:eastAsia="es-ES_tradnl"/>
        </w:rPr>
        <w:t>tokenizad</w:t>
      </w:r>
      <w:r w:rsidRPr="0080490E">
        <w:rPr>
          <w:rFonts w:asciiTheme="minorHAnsi" w:hAnsiTheme="minorHAnsi" w:cstheme="minorHAnsi"/>
          <w:szCs w:val="24"/>
          <w:lang w:eastAsia="es-ES_tradnl"/>
        </w:rPr>
        <w:t>o</w:t>
      </w:r>
      <w:r w:rsidR="00B5049D" w:rsidRPr="0080490E">
        <w:rPr>
          <w:rFonts w:asciiTheme="minorHAnsi" w:hAnsiTheme="minorHAnsi" w:cstheme="minorHAnsi"/>
          <w:szCs w:val="24"/>
          <w:lang w:eastAsia="es-ES_tradnl"/>
        </w:rPr>
        <w:t xml:space="preserve"> </w:t>
      </w:r>
      <w:r w:rsidR="00F56938" w:rsidRPr="0080490E">
        <w:rPr>
          <w:rFonts w:asciiTheme="minorHAnsi" w:hAnsiTheme="minorHAnsi" w:cstheme="minorHAnsi"/>
          <w:szCs w:val="24"/>
          <w:lang w:eastAsia="es-ES_tradnl"/>
        </w:rPr>
        <w:t>constituye</w:t>
      </w:r>
      <w:r w:rsidR="00B5049D" w:rsidRPr="0080490E">
        <w:rPr>
          <w:rFonts w:asciiTheme="minorHAnsi" w:hAnsiTheme="minorHAnsi" w:cstheme="minorHAnsi"/>
          <w:szCs w:val="24"/>
          <w:lang w:eastAsia="es-ES_tradnl"/>
        </w:rPr>
        <w:t xml:space="preserve"> un instrumento financiero. </w:t>
      </w:r>
      <w:r w:rsidR="009607CB" w:rsidRPr="0080490E">
        <w:rPr>
          <w:rFonts w:asciiTheme="minorHAnsi" w:hAnsiTheme="minorHAnsi" w:cstheme="minorHAnsi"/>
          <w:szCs w:val="24"/>
          <w:lang w:eastAsia="es-ES_tradnl"/>
        </w:rPr>
        <w:t xml:space="preserve">Por un lado, es obvio que el préstamo participativo </w:t>
      </w:r>
      <w:r w:rsidR="00E20747" w:rsidRPr="0080490E">
        <w:rPr>
          <w:rFonts w:asciiTheme="minorHAnsi" w:hAnsiTheme="minorHAnsi" w:cstheme="minorHAnsi"/>
          <w:szCs w:val="24"/>
          <w:lang w:eastAsia="es-ES_tradnl"/>
        </w:rPr>
        <w:t xml:space="preserve">o la cuenta en participación </w:t>
      </w:r>
      <w:r w:rsidR="009607CB" w:rsidRPr="0080490E">
        <w:rPr>
          <w:rFonts w:asciiTheme="minorHAnsi" w:hAnsiTheme="minorHAnsi" w:cstheme="minorHAnsi"/>
          <w:szCs w:val="24"/>
          <w:lang w:eastAsia="es-ES_tradnl"/>
        </w:rPr>
        <w:t>constituye</w:t>
      </w:r>
      <w:r w:rsidR="00E20747" w:rsidRPr="0080490E">
        <w:rPr>
          <w:rFonts w:asciiTheme="minorHAnsi" w:hAnsiTheme="minorHAnsi" w:cstheme="minorHAnsi"/>
          <w:szCs w:val="24"/>
          <w:lang w:eastAsia="es-ES_tradnl"/>
        </w:rPr>
        <w:t>n</w:t>
      </w:r>
      <w:r w:rsidR="009607CB" w:rsidRPr="0080490E">
        <w:rPr>
          <w:rFonts w:asciiTheme="minorHAnsi" w:hAnsiTheme="minorHAnsi" w:cstheme="minorHAnsi"/>
          <w:szCs w:val="24"/>
          <w:lang w:eastAsia="es-ES_tradnl"/>
        </w:rPr>
        <w:t xml:space="preserve"> </w:t>
      </w:r>
      <w:r w:rsidR="009607CB" w:rsidRPr="0080490E">
        <w:rPr>
          <w:rFonts w:asciiTheme="minorHAnsi" w:hAnsiTheme="minorHAnsi" w:cstheme="minorHAnsi"/>
          <w:szCs w:val="24"/>
        </w:rPr>
        <w:t xml:space="preserve">“instrumentos de financiación” pero esta </w:t>
      </w:r>
      <w:r w:rsidR="00A37FE3" w:rsidRPr="0080490E">
        <w:rPr>
          <w:rFonts w:asciiTheme="minorHAnsi" w:hAnsiTheme="minorHAnsi" w:cstheme="minorHAnsi"/>
          <w:szCs w:val="24"/>
        </w:rPr>
        <w:t>ca</w:t>
      </w:r>
      <w:r w:rsidR="00511AFB" w:rsidRPr="0080490E">
        <w:rPr>
          <w:rFonts w:asciiTheme="minorHAnsi" w:hAnsiTheme="minorHAnsi" w:cstheme="minorHAnsi"/>
          <w:szCs w:val="24"/>
        </w:rPr>
        <w:t>l</w:t>
      </w:r>
      <w:r w:rsidR="00A37FE3" w:rsidRPr="0080490E">
        <w:rPr>
          <w:rFonts w:asciiTheme="minorHAnsi" w:hAnsiTheme="minorHAnsi" w:cstheme="minorHAnsi"/>
          <w:szCs w:val="24"/>
        </w:rPr>
        <w:t>ificación</w:t>
      </w:r>
      <w:r w:rsidR="009607CB" w:rsidRPr="0080490E">
        <w:rPr>
          <w:rFonts w:asciiTheme="minorHAnsi" w:hAnsiTheme="minorHAnsi" w:cstheme="minorHAnsi"/>
          <w:szCs w:val="24"/>
        </w:rPr>
        <w:t xml:space="preserve"> no supone que se</w:t>
      </w:r>
      <w:r w:rsidR="00A37FE3" w:rsidRPr="0080490E">
        <w:rPr>
          <w:rFonts w:asciiTheme="minorHAnsi" w:hAnsiTheme="minorHAnsi" w:cstheme="minorHAnsi"/>
          <w:szCs w:val="24"/>
        </w:rPr>
        <w:t>an</w:t>
      </w:r>
      <w:r w:rsidR="00721BB0" w:rsidRPr="0080490E">
        <w:rPr>
          <w:rFonts w:asciiTheme="minorHAnsi" w:hAnsiTheme="minorHAnsi" w:cstheme="minorHAnsi"/>
          <w:szCs w:val="24"/>
        </w:rPr>
        <w:t xml:space="preserve"> </w:t>
      </w:r>
      <w:r w:rsidR="009607CB" w:rsidRPr="0080490E">
        <w:rPr>
          <w:rFonts w:asciiTheme="minorHAnsi" w:hAnsiTheme="minorHAnsi" w:cstheme="minorHAnsi"/>
          <w:szCs w:val="24"/>
        </w:rPr>
        <w:t>“instrumento</w:t>
      </w:r>
      <w:r w:rsidR="00A37FE3" w:rsidRPr="0080490E">
        <w:rPr>
          <w:rFonts w:asciiTheme="minorHAnsi" w:hAnsiTheme="minorHAnsi" w:cstheme="minorHAnsi"/>
          <w:szCs w:val="24"/>
        </w:rPr>
        <w:t>s</w:t>
      </w:r>
      <w:r w:rsidR="009607CB" w:rsidRPr="0080490E">
        <w:rPr>
          <w:rFonts w:asciiTheme="minorHAnsi" w:hAnsiTheme="minorHAnsi" w:cstheme="minorHAnsi"/>
          <w:szCs w:val="24"/>
        </w:rPr>
        <w:t xml:space="preserve"> financiero</w:t>
      </w:r>
      <w:r w:rsidR="00A37FE3" w:rsidRPr="0080490E">
        <w:rPr>
          <w:rFonts w:asciiTheme="minorHAnsi" w:hAnsiTheme="minorHAnsi" w:cstheme="minorHAnsi"/>
          <w:szCs w:val="24"/>
        </w:rPr>
        <w:t>s</w:t>
      </w:r>
      <w:r w:rsidR="009607CB" w:rsidRPr="0080490E">
        <w:rPr>
          <w:rFonts w:asciiTheme="minorHAnsi" w:hAnsiTheme="minorHAnsi" w:cstheme="minorHAnsi"/>
          <w:szCs w:val="24"/>
        </w:rPr>
        <w:t xml:space="preserve">”. </w:t>
      </w:r>
      <w:r w:rsidR="000129A4" w:rsidRPr="0080490E">
        <w:rPr>
          <w:rFonts w:asciiTheme="minorHAnsi" w:hAnsiTheme="minorHAnsi" w:cstheme="minorHAnsi"/>
          <w:szCs w:val="24"/>
        </w:rPr>
        <w:t xml:space="preserve">Es más, </w:t>
      </w:r>
      <w:r w:rsidR="004163DA" w:rsidRPr="0080490E">
        <w:rPr>
          <w:rFonts w:asciiTheme="minorHAnsi" w:hAnsiTheme="minorHAnsi" w:cstheme="minorHAnsi"/>
          <w:szCs w:val="24"/>
        </w:rPr>
        <w:t>estos</w:t>
      </w:r>
      <w:r w:rsidR="001269E8" w:rsidRPr="0080490E">
        <w:rPr>
          <w:rFonts w:asciiTheme="minorHAnsi" w:hAnsiTheme="minorHAnsi" w:cstheme="minorHAnsi"/>
          <w:szCs w:val="24"/>
        </w:rPr>
        <w:t xml:space="preserve"> </w:t>
      </w:r>
      <w:r w:rsidR="00E20747" w:rsidRPr="0080490E">
        <w:rPr>
          <w:rFonts w:asciiTheme="minorHAnsi" w:hAnsiTheme="minorHAnsi" w:cstheme="minorHAnsi"/>
          <w:szCs w:val="24"/>
        </w:rPr>
        <w:t xml:space="preserve">contratos </w:t>
      </w:r>
      <w:r w:rsidR="001269E8" w:rsidRPr="0080490E">
        <w:rPr>
          <w:rFonts w:asciiTheme="minorHAnsi" w:hAnsiTheme="minorHAnsi" w:cstheme="minorHAnsi"/>
          <w:szCs w:val="24"/>
        </w:rPr>
        <w:t>no encajan en las</w:t>
      </w:r>
      <w:r w:rsidR="001A727D" w:rsidRPr="0080490E">
        <w:rPr>
          <w:rFonts w:asciiTheme="minorHAnsi" w:hAnsiTheme="minorHAnsi" w:cstheme="minorHAnsi"/>
          <w:szCs w:val="24"/>
        </w:rPr>
        <w:t xml:space="preserve"> distintas</w:t>
      </w:r>
      <w:r w:rsidR="001269E8" w:rsidRPr="0080490E">
        <w:rPr>
          <w:rFonts w:asciiTheme="minorHAnsi" w:hAnsiTheme="minorHAnsi" w:cstheme="minorHAnsi"/>
          <w:szCs w:val="24"/>
        </w:rPr>
        <w:t xml:space="preserve"> categorías</w:t>
      </w:r>
      <w:r w:rsidR="00511AFB" w:rsidRPr="0080490E">
        <w:rPr>
          <w:rFonts w:asciiTheme="minorHAnsi" w:hAnsiTheme="minorHAnsi" w:cstheme="minorHAnsi"/>
          <w:szCs w:val="24"/>
        </w:rPr>
        <w:t xml:space="preserve"> de instrumentos financieros</w:t>
      </w:r>
      <w:r w:rsidR="001269E8" w:rsidRPr="0080490E">
        <w:rPr>
          <w:rFonts w:asciiTheme="minorHAnsi" w:hAnsiTheme="minorHAnsi" w:cstheme="minorHAnsi"/>
          <w:szCs w:val="24"/>
        </w:rPr>
        <w:t xml:space="preserve"> especificadas en </w:t>
      </w:r>
      <w:r w:rsidR="00E20747" w:rsidRPr="0080490E">
        <w:rPr>
          <w:rFonts w:asciiTheme="minorHAnsi" w:hAnsiTheme="minorHAnsi" w:cstheme="minorHAnsi"/>
          <w:szCs w:val="24"/>
        </w:rPr>
        <w:t>el</w:t>
      </w:r>
      <w:r w:rsidR="001269E8" w:rsidRPr="0080490E">
        <w:rPr>
          <w:rFonts w:asciiTheme="minorHAnsi" w:hAnsiTheme="minorHAnsi" w:cstheme="minorHAnsi"/>
          <w:szCs w:val="24"/>
        </w:rPr>
        <w:t xml:space="preserve"> </w:t>
      </w:r>
      <w:r w:rsidR="00E20747" w:rsidRPr="0080490E">
        <w:rPr>
          <w:rFonts w:asciiTheme="minorHAnsi" w:hAnsiTheme="minorHAnsi" w:cstheme="minorHAnsi"/>
          <w:szCs w:val="24"/>
        </w:rPr>
        <w:t>Anexo I Sección C</w:t>
      </w:r>
      <w:r w:rsidR="00342334" w:rsidRPr="0080490E">
        <w:rPr>
          <w:rFonts w:asciiTheme="minorHAnsi" w:hAnsiTheme="minorHAnsi" w:cstheme="minorHAnsi"/>
          <w:szCs w:val="24"/>
        </w:rPr>
        <w:t xml:space="preserve"> de </w:t>
      </w:r>
      <w:proofErr w:type="spellStart"/>
      <w:r w:rsidR="00342334" w:rsidRPr="0080490E">
        <w:rPr>
          <w:rFonts w:asciiTheme="minorHAnsi" w:hAnsiTheme="minorHAnsi" w:cstheme="minorHAnsi"/>
          <w:szCs w:val="24"/>
        </w:rPr>
        <w:t>MiFID</w:t>
      </w:r>
      <w:proofErr w:type="spellEnd"/>
      <w:r w:rsidR="00342334" w:rsidRPr="0080490E">
        <w:rPr>
          <w:rFonts w:asciiTheme="minorHAnsi" w:hAnsiTheme="minorHAnsi" w:cstheme="minorHAnsi"/>
          <w:szCs w:val="24"/>
        </w:rPr>
        <w:t xml:space="preserve"> II</w:t>
      </w:r>
      <w:r w:rsidR="00930575" w:rsidRPr="0080490E">
        <w:rPr>
          <w:rStyle w:val="Refdenotaalpie"/>
          <w:rFonts w:asciiTheme="minorHAnsi" w:hAnsiTheme="minorHAnsi" w:cstheme="minorHAnsi"/>
          <w:szCs w:val="24"/>
        </w:rPr>
        <w:footnoteReference w:id="79"/>
      </w:r>
      <w:r w:rsidR="001269E8" w:rsidRPr="0080490E">
        <w:rPr>
          <w:rFonts w:asciiTheme="minorHAnsi" w:hAnsiTheme="minorHAnsi" w:cstheme="minorHAnsi"/>
          <w:szCs w:val="24"/>
        </w:rPr>
        <w:t xml:space="preserve">. </w:t>
      </w:r>
      <w:r w:rsidR="00B5049D" w:rsidRPr="0080490E">
        <w:rPr>
          <w:rFonts w:asciiTheme="minorHAnsi" w:hAnsiTheme="minorHAnsi" w:cstheme="minorHAnsi"/>
          <w:szCs w:val="24"/>
        </w:rPr>
        <w:t xml:space="preserve">El hecho de que el </w:t>
      </w:r>
      <w:r w:rsidR="001835DE" w:rsidRPr="0080490E">
        <w:rPr>
          <w:rFonts w:asciiTheme="minorHAnsi" w:hAnsiTheme="minorHAnsi" w:cstheme="minorHAnsi"/>
          <w:szCs w:val="24"/>
        </w:rPr>
        <w:t>contrato tokenizado</w:t>
      </w:r>
      <w:r w:rsidR="00B5049D" w:rsidRPr="0080490E">
        <w:rPr>
          <w:rFonts w:asciiTheme="minorHAnsi" w:hAnsiTheme="minorHAnsi" w:cstheme="minorHAnsi"/>
          <w:szCs w:val="24"/>
        </w:rPr>
        <w:t xml:space="preserve"> ofrezca al inversor la posibilidad de participar en </w:t>
      </w:r>
      <w:r w:rsidR="00342334" w:rsidRPr="0080490E">
        <w:rPr>
          <w:rFonts w:asciiTheme="minorHAnsi" w:hAnsiTheme="minorHAnsi" w:cstheme="minorHAnsi"/>
          <w:szCs w:val="24"/>
        </w:rPr>
        <w:t xml:space="preserve">las </w:t>
      </w:r>
      <w:r w:rsidR="00B5049D" w:rsidRPr="0080490E">
        <w:rPr>
          <w:rFonts w:asciiTheme="minorHAnsi" w:hAnsiTheme="minorHAnsi" w:cstheme="minorHAnsi"/>
          <w:szCs w:val="24"/>
        </w:rPr>
        <w:t xml:space="preserve">ganancias </w:t>
      </w:r>
      <w:r w:rsidR="001835DE" w:rsidRPr="0080490E">
        <w:rPr>
          <w:rFonts w:asciiTheme="minorHAnsi" w:hAnsiTheme="minorHAnsi" w:cstheme="minorHAnsi"/>
          <w:szCs w:val="24"/>
        </w:rPr>
        <w:t xml:space="preserve">del promotor </w:t>
      </w:r>
      <w:r w:rsidR="00737B40" w:rsidRPr="0080490E">
        <w:rPr>
          <w:rFonts w:asciiTheme="minorHAnsi" w:hAnsiTheme="minorHAnsi" w:cstheme="minorHAnsi"/>
          <w:szCs w:val="24"/>
        </w:rPr>
        <w:t>tampoco</w:t>
      </w:r>
      <w:r w:rsidR="00B5049D" w:rsidRPr="0080490E">
        <w:rPr>
          <w:rFonts w:asciiTheme="minorHAnsi" w:hAnsiTheme="minorHAnsi" w:cstheme="minorHAnsi"/>
          <w:szCs w:val="24"/>
        </w:rPr>
        <w:t xml:space="preserve"> es un criterio </w:t>
      </w:r>
      <w:r w:rsidR="00D67F1B" w:rsidRPr="0080490E">
        <w:rPr>
          <w:rFonts w:asciiTheme="minorHAnsi" w:hAnsiTheme="minorHAnsi" w:cstheme="minorHAnsi"/>
          <w:szCs w:val="24"/>
        </w:rPr>
        <w:t xml:space="preserve">suficiente </w:t>
      </w:r>
      <w:r w:rsidR="00B5049D" w:rsidRPr="0080490E">
        <w:rPr>
          <w:rFonts w:asciiTheme="minorHAnsi" w:hAnsiTheme="minorHAnsi" w:cstheme="minorHAnsi"/>
          <w:szCs w:val="24"/>
        </w:rPr>
        <w:t xml:space="preserve">para </w:t>
      </w:r>
      <w:r w:rsidR="00D67F1B" w:rsidRPr="0080490E">
        <w:rPr>
          <w:rFonts w:asciiTheme="minorHAnsi" w:hAnsiTheme="minorHAnsi" w:cstheme="minorHAnsi"/>
          <w:szCs w:val="24"/>
        </w:rPr>
        <w:t>incluirlos entre los</w:t>
      </w:r>
      <w:r w:rsidR="00B5049D" w:rsidRPr="0080490E">
        <w:rPr>
          <w:rFonts w:asciiTheme="minorHAnsi" w:hAnsiTheme="minorHAnsi" w:cstheme="minorHAnsi"/>
          <w:szCs w:val="24"/>
        </w:rPr>
        <w:t xml:space="preserve"> instrumento</w:t>
      </w:r>
      <w:r w:rsidR="00D67F1B" w:rsidRPr="0080490E">
        <w:rPr>
          <w:rFonts w:asciiTheme="minorHAnsi" w:hAnsiTheme="minorHAnsi" w:cstheme="minorHAnsi"/>
          <w:szCs w:val="24"/>
        </w:rPr>
        <w:t>s</w:t>
      </w:r>
      <w:r w:rsidR="00B5049D" w:rsidRPr="0080490E">
        <w:rPr>
          <w:rFonts w:asciiTheme="minorHAnsi" w:hAnsiTheme="minorHAnsi" w:cstheme="minorHAnsi"/>
          <w:szCs w:val="24"/>
        </w:rPr>
        <w:t xml:space="preserve"> financiero</w:t>
      </w:r>
      <w:r w:rsidR="00D67F1B" w:rsidRPr="0080490E">
        <w:rPr>
          <w:rFonts w:asciiTheme="minorHAnsi" w:hAnsiTheme="minorHAnsi" w:cstheme="minorHAnsi"/>
          <w:szCs w:val="24"/>
        </w:rPr>
        <w:t>s</w:t>
      </w:r>
      <w:r w:rsidR="00B5049D" w:rsidRPr="0080490E">
        <w:rPr>
          <w:rStyle w:val="Refdenotaalpie"/>
          <w:rFonts w:asciiTheme="minorHAnsi" w:hAnsiTheme="minorHAnsi" w:cstheme="minorHAnsi"/>
          <w:szCs w:val="24"/>
        </w:rPr>
        <w:footnoteReference w:id="80"/>
      </w:r>
      <w:r w:rsidR="00B5049D" w:rsidRPr="0080490E">
        <w:rPr>
          <w:rFonts w:asciiTheme="minorHAnsi" w:hAnsiTheme="minorHAnsi" w:cstheme="minorHAnsi"/>
          <w:szCs w:val="24"/>
        </w:rPr>
        <w:t>.</w:t>
      </w:r>
    </w:p>
    <w:p w14:paraId="0A7F2E4A" w14:textId="578DC01D" w:rsidR="004C5801" w:rsidRPr="0080490E" w:rsidRDefault="007E05C9"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Proponer un modelo de negocio basado en la tokenización de un contrato </w:t>
      </w:r>
      <w:r w:rsidR="000654B4" w:rsidRPr="0080490E">
        <w:rPr>
          <w:rFonts w:asciiTheme="minorHAnsi" w:hAnsiTheme="minorHAnsi" w:cstheme="minorHAnsi"/>
          <w:szCs w:val="24"/>
        </w:rPr>
        <w:t xml:space="preserve">electrónico </w:t>
      </w:r>
      <w:r w:rsidRPr="0080490E">
        <w:rPr>
          <w:rFonts w:asciiTheme="minorHAnsi" w:hAnsiTheme="minorHAnsi" w:cstheme="minorHAnsi"/>
          <w:szCs w:val="24"/>
        </w:rPr>
        <w:t xml:space="preserve">que represente la condición de parte y su posición contable en un </w:t>
      </w:r>
      <w:proofErr w:type="spellStart"/>
      <w:r w:rsidRPr="0080490E">
        <w:rPr>
          <w:rFonts w:asciiTheme="minorHAnsi" w:hAnsiTheme="minorHAnsi" w:cstheme="minorHAnsi"/>
          <w:i/>
          <w:iCs/>
          <w:szCs w:val="24"/>
        </w:rPr>
        <w:t>smart</w:t>
      </w:r>
      <w:proofErr w:type="spellEnd"/>
      <w:r w:rsidRPr="0080490E">
        <w:rPr>
          <w:rFonts w:asciiTheme="minorHAnsi" w:hAnsiTheme="minorHAnsi" w:cstheme="minorHAnsi"/>
          <w:i/>
          <w:iCs/>
          <w:szCs w:val="24"/>
        </w:rPr>
        <w:t xml:space="preserve"> </w:t>
      </w:r>
      <w:proofErr w:type="spellStart"/>
      <w:r w:rsidRPr="0080490E">
        <w:rPr>
          <w:rFonts w:asciiTheme="minorHAnsi" w:hAnsiTheme="minorHAnsi" w:cstheme="minorHAnsi"/>
          <w:i/>
          <w:iCs/>
          <w:szCs w:val="24"/>
        </w:rPr>
        <w:t>contract</w:t>
      </w:r>
      <w:proofErr w:type="spellEnd"/>
      <w:r w:rsidRPr="0080490E">
        <w:rPr>
          <w:rFonts w:asciiTheme="minorHAnsi" w:hAnsiTheme="minorHAnsi" w:cstheme="minorHAnsi"/>
          <w:szCs w:val="24"/>
        </w:rPr>
        <w:t xml:space="preserve"> </w:t>
      </w:r>
      <w:r w:rsidR="00D67F1B" w:rsidRPr="0080490E">
        <w:rPr>
          <w:rFonts w:asciiTheme="minorHAnsi" w:hAnsiTheme="minorHAnsi" w:cstheme="minorHAnsi"/>
          <w:szCs w:val="24"/>
        </w:rPr>
        <w:t>constituye</w:t>
      </w:r>
      <w:r w:rsidRPr="0080490E">
        <w:rPr>
          <w:rFonts w:asciiTheme="minorHAnsi" w:hAnsiTheme="minorHAnsi" w:cstheme="minorHAnsi"/>
          <w:szCs w:val="24"/>
        </w:rPr>
        <w:t xml:space="preserve"> una opción legítima que, en ningún caso, debe considerarse una evasión del régimen establecido por la CNMV para los </w:t>
      </w:r>
      <w:proofErr w:type="spellStart"/>
      <w:r w:rsidRPr="0080490E">
        <w:rPr>
          <w:rFonts w:asciiTheme="minorHAnsi" w:hAnsiTheme="minorHAnsi" w:cstheme="minorHAnsi"/>
          <w:i/>
          <w:iCs/>
          <w:szCs w:val="24"/>
        </w:rPr>
        <w:t>security</w:t>
      </w:r>
      <w:proofErr w:type="spellEnd"/>
      <w:r w:rsidRPr="0080490E">
        <w:rPr>
          <w:rFonts w:asciiTheme="minorHAnsi" w:hAnsiTheme="minorHAnsi" w:cstheme="minorHAnsi"/>
          <w:i/>
          <w:iCs/>
          <w:szCs w:val="24"/>
        </w:rPr>
        <w:t xml:space="preserve"> tokens</w:t>
      </w:r>
      <w:r w:rsidR="00692694" w:rsidRPr="0080490E">
        <w:rPr>
          <w:rFonts w:asciiTheme="minorHAnsi" w:hAnsiTheme="minorHAnsi" w:cstheme="minorHAnsi"/>
          <w:szCs w:val="24"/>
        </w:rPr>
        <w:t xml:space="preserve">. </w:t>
      </w:r>
      <w:r w:rsidRPr="0080490E">
        <w:rPr>
          <w:rFonts w:asciiTheme="minorHAnsi" w:hAnsiTheme="minorHAnsi" w:cstheme="minorHAnsi"/>
          <w:szCs w:val="24"/>
        </w:rPr>
        <w:t>Al contrario, supone</w:t>
      </w:r>
      <w:r w:rsidR="00692694" w:rsidRPr="0080490E">
        <w:rPr>
          <w:rFonts w:asciiTheme="minorHAnsi" w:hAnsiTheme="minorHAnsi" w:cstheme="minorHAnsi"/>
          <w:szCs w:val="24"/>
        </w:rPr>
        <w:t xml:space="preserve"> una estrategia </w:t>
      </w:r>
      <w:r w:rsidRPr="0080490E">
        <w:rPr>
          <w:rFonts w:asciiTheme="minorHAnsi" w:hAnsiTheme="minorHAnsi" w:cstheme="minorHAnsi"/>
          <w:szCs w:val="24"/>
        </w:rPr>
        <w:t>que</w:t>
      </w:r>
      <w:r w:rsidR="00692694" w:rsidRPr="0080490E">
        <w:rPr>
          <w:rFonts w:asciiTheme="minorHAnsi" w:hAnsiTheme="minorHAnsi" w:cstheme="minorHAnsi"/>
          <w:szCs w:val="24"/>
        </w:rPr>
        <w:t xml:space="preserve"> permit</w:t>
      </w:r>
      <w:r w:rsidRPr="0080490E">
        <w:rPr>
          <w:rFonts w:asciiTheme="minorHAnsi" w:hAnsiTheme="minorHAnsi" w:cstheme="minorHAnsi"/>
          <w:szCs w:val="24"/>
        </w:rPr>
        <w:t>e</w:t>
      </w:r>
      <w:r w:rsidR="00692694" w:rsidRPr="0080490E">
        <w:rPr>
          <w:rFonts w:asciiTheme="minorHAnsi" w:hAnsiTheme="minorHAnsi" w:cstheme="minorHAnsi"/>
          <w:szCs w:val="24"/>
        </w:rPr>
        <w:t xml:space="preserve"> </w:t>
      </w:r>
      <w:r w:rsidRPr="0080490E">
        <w:rPr>
          <w:rFonts w:asciiTheme="minorHAnsi" w:hAnsiTheme="minorHAnsi" w:cstheme="minorHAnsi"/>
          <w:szCs w:val="24"/>
        </w:rPr>
        <w:t>su</w:t>
      </w:r>
      <w:r w:rsidR="00692694" w:rsidRPr="0080490E">
        <w:rPr>
          <w:rFonts w:asciiTheme="minorHAnsi" w:hAnsiTheme="minorHAnsi" w:cstheme="minorHAnsi"/>
          <w:szCs w:val="24"/>
        </w:rPr>
        <w:t xml:space="preserve"> </w:t>
      </w:r>
      <w:r w:rsidR="00D67F1B" w:rsidRPr="0080490E">
        <w:rPr>
          <w:rFonts w:asciiTheme="minorHAnsi" w:hAnsiTheme="minorHAnsi" w:cstheme="minorHAnsi"/>
          <w:szCs w:val="24"/>
        </w:rPr>
        <w:t xml:space="preserve">pacífico </w:t>
      </w:r>
      <w:r w:rsidR="00A957EC" w:rsidRPr="0080490E">
        <w:rPr>
          <w:rFonts w:asciiTheme="minorHAnsi" w:hAnsiTheme="minorHAnsi" w:cstheme="minorHAnsi"/>
          <w:szCs w:val="24"/>
        </w:rPr>
        <w:t>desarrollo</w:t>
      </w:r>
      <w:r w:rsidR="00FF1D32" w:rsidRPr="0080490E">
        <w:rPr>
          <w:rFonts w:asciiTheme="minorHAnsi" w:hAnsiTheme="minorHAnsi" w:cstheme="minorHAnsi"/>
          <w:szCs w:val="24"/>
        </w:rPr>
        <w:t xml:space="preserve"> </w:t>
      </w:r>
      <w:r w:rsidR="00692694" w:rsidRPr="0080490E">
        <w:rPr>
          <w:rFonts w:asciiTheme="minorHAnsi" w:hAnsiTheme="minorHAnsi" w:cstheme="minorHAnsi"/>
          <w:szCs w:val="24"/>
        </w:rPr>
        <w:t xml:space="preserve">en un contexto en el que la legislación sobre valores negociables no </w:t>
      </w:r>
      <w:r w:rsidR="00D67F1B" w:rsidRPr="0080490E">
        <w:rPr>
          <w:rFonts w:asciiTheme="minorHAnsi" w:hAnsiTheme="minorHAnsi" w:cstheme="minorHAnsi"/>
          <w:szCs w:val="24"/>
        </w:rPr>
        <w:t xml:space="preserve">ha desarrollado un marco </w:t>
      </w:r>
      <w:r w:rsidR="004163DA" w:rsidRPr="0080490E">
        <w:rPr>
          <w:rFonts w:asciiTheme="minorHAnsi" w:hAnsiTheme="minorHAnsi" w:cstheme="minorHAnsi"/>
          <w:szCs w:val="24"/>
        </w:rPr>
        <w:t xml:space="preserve">auténtico </w:t>
      </w:r>
      <w:r w:rsidR="00D67F1B" w:rsidRPr="0080490E">
        <w:rPr>
          <w:rFonts w:asciiTheme="minorHAnsi" w:hAnsiTheme="minorHAnsi" w:cstheme="minorHAnsi"/>
          <w:szCs w:val="24"/>
        </w:rPr>
        <w:t>de seguridad jurídica para</w:t>
      </w:r>
      <w:r w:rsidR="00692694" w:rsidRPr="0080490E">
        <w:rPr>
          <w:rFonts w:asciiTheme="minorHAnsi" w:hAnsiTheme="minorHAnsi" w:cstheme="minorHAnsi"/>
          <w:szCs w:val="24"/>
        </w:rPr>
        <w:t xml:space="preserve"> la </w:t>
      </w:r>
      <w:r w:rsidR="00692694" w:rsidRPr="0080490E">
        <w:rPr>
          <w:rFonts w:asciiTheme="minorHAnsi" w:hAnsiTheme="minorHAnsi" w:cstheme="minorHAnsi"/>
          <w:szCs w:val="24"/>
        </w:rPr>
        <w:lastRenderedPageBreak/>
        <w:t>inversión tokenizada.</w:t>
      </w:r>
      <w:r w:rsidR="005079C8" w:rsidRPr="0080490E">
        <w:rPr>
          <w:rFonts w:asciiTheme="minorHAnsi" w:hAnsiTheme="minorHAnsi" w:cstheme="minorHAnsi"/>
          <w:szCs w:val="24"/>
        </w:rPr>
        <w:t xml:space="preserve"> Aun siendo un modelo legal, puede ser percibido como oportunista, ya que </w:t>
      </w:r>
      <w:r w:rsidR="00D67F1B" w:rsidRPr="0080490E">
        <w:rPr>
          <w:rFonts w:asciiTheme="minorHAnsi" w:hAnsiTheme="minorHAnsi" w:cstheme="minorHAnsi"/>
          <w:szCs w:val="24"/>
        </w:rPr>
        <w:t>estas operaciones</w:t>
      </w:r>
      <w:r w:rsidR="005079C8" w:rsidRPr="0080490E">
        <w:rPr>
          <w:rFonts w:asciiTheme="minorHAnsi" w:hAnsiTheme="minorHAnsi" w:cstheme="minorHAnsi"/>
          <w:szCs w:val="24"/>
        </w:rPr>
        <w:t xml:space="preserve"> quedan al margen de l</w:t>
      </w:r>
      <w:r w:rsidR="00D67F1B" w:rsidRPr="0080490E">
        <w:rPr>
          <w:rFonts w:asciiTheme="minorHAnsi" w:hAnsiTheme="minorHAnsi" w:cstheme="minorHAnsi"/>
          <w:szCs w:val="24"/>
        </w:rPr>
        <w:t>a</w:t>
      </w:r>
      <w:r w:rsidR="005079C8" w:rsidRPr="0080490E">
        <w:rPr>
          <w:rFonts w:asciiTheme="minorHAnsi" w:hAnsiTheme="minorHAnsi" w:cstheme="minorHAnsi"/>
          <w:szCs w:val="24"/>
        </w:rPr>
        <w:t xml:space="preserve">s principales </w:t>
      </w:r>
      <w:r w:rsidR="00D67F1B" w:rsidRPr="0080490E">
        <w:rPr>
          <w:rFonts w:asciiTheme="minorHAnsi" w:hAnsiTheme="minorHAnsi" w:cstheme="minorHAnsi"/>
          <w:szCs w:val="24"/>
        </w:rPr>
        <w:t>normas</w:t>
      </w:r>
      <w:r w:rsidR="005079C8" w:rsidRPr="0080490E">
        <w:rPr>
          <w:rFonts w:asciiTheme="minorHAnsi" w:hAnsiTheme="minorHAnsi" w:cstheme="minorHAnsi"/>
          <w:szCs w:val="24"/>
        </w:rPr>
        <w:t xml:space="preserve"> </w:t>
      </w:r>
      <w:r w:rsidR="00D67F1B" w:rsidRPr="0080490E">
        <w:rPr>
          <w:rFonts w:asciiTheme="minorHAnsi" w:hAnsiTheme="minorHAnsi" w:cstheme="minorHAnsi"/>
          <w:szCs w:val="24"/>
        </w:rPr>
        <w:t>que</w:t>
      </w:r>
      <w:r w:rsidR="005079C8" w:rsidRPr="0080490E">
        <w:rPr>
          <w:rFonts w:asciiTheme="minorHAnsi" w:hAnsiTheme="minorHAnsi" w:cstheme="minorHAnsi"/>
          <w:szCs w:val="24"/>
        </w:rPr>
        <w:t xml:space="preserve"> regulan </w:t>
      </w:r>
      <w:r w:rsidR="00D67F1B" w:rsidRPr="0080490E">
        <w:rPr>
          <w:rFonts w:asciiTheme="minorHAnsi" w:hAnsiTheme="minorHAnsi" w:cstheme="minorHAnsi"/>
          <w:szCs w:val="24"/>
        </w:rPr>
        <w:t>las</w:t>
      </w:r>
      <w:r w:rsidR="00FF1D32" w:rsidRPr="0080490E">
        <w:rPr>
          <w:rFonts w:asciiTheme="minorHAnsi" w:hAnsiTheme="minorHAnsi" w:cstheme="minorHAnsi"/>
          <w:szCs w:val="24"/>
        </w:rPr>
        <w:t xml:space="preserve"> </w:t>
      </w:r>
      <w:r w:rsidR="005079C8" w:rsidRPr="0080490E">
        <w:rPr>
          <w:rFonts w:asciiTheme="minorHAnsi" w:hAnsiTheme="minorHAnsi" w:cstheme="minorHAnsi"/>
          <w:szCs w:val="24"/>
        </w:rPr>
        <w:t xml:space="preserve">inversiones: </w:t>
      </w:r>
      <w:proofErr w:type="spellStart"/>
      <w:r w:rsidR="005079C8" w:rsidRPr="0080490E">
        <w:rPr>
          <w:rFonts w:asciiTheme="minorHAnsi" w:hAnsiTheme="minorHAnsi" w:cstheme="minorHAnsi"/>
          <w:szCs w:val="24"/>
        </w:rPr>
        <w:t>MiFID</w:t>
      </w:r>
      <w:proofErr w:type="spellEnd"/>
      <w:r w:rsidR="005079C8" w:rsidRPr="0080490E">
        <w:rPr>
          <w:rFonts w:asciiTheme="minorHAnsi" w:hAnsiTheme="minorHAnsi" w:cstheme="minorHAnsi"/>
          <w:szCs w:val="24"/>
        </w:rPr>
        <w:t xml:space="preserve"> II y l</w:t>
      </w:r>
      <w:r w:rsidR="00D67F1B" w:rsidRPr="0080490E">
        <w:rPr>
          <w:rFonts w:asciiTheme="minorHAnsi" w:hAnsiTheme="minorHAnsi" w:cstheme="minorHAnsi"/>
          <w:szCs w:val="24"/>
        </w:rPr>
        <w:t xml:space="preserve">a legislación </w:t>
      </w:r>
      <w:r w:rsidR="005079C8" w:rsidRPr="0080490E">
        <w:rPr>
          <w:rFonts w:asciiTheme="minorHAnsi" w:hAnsiTheme="minorHAnsi" w:cstheme="minorHAnsi"/>
          <w:szCs w:val="24"/>
        </w:rPr>
        <w:t xml:space="preserve">sobre </w:t>
      </w:r>
      <w:r w:rsidR="00B32D79" w:rsidRPr="0080490E">
        <w:rPr>
          <w:rFonts w:asciiTheme="minorHAnsi" w:hAnsiTheme="minorHAnsi" w:cstheme="minorHAnsi"/>
          <w:szCs w:val="24"/>
        </w:rPr>
        <w:t xml:space="preserve">el </w:t>
      </w:r>
      <w:r w:rsidR="005079C8" w:rsidRPr="0080490E">
        <w:rPr>
          <w:rFonts w:asciiTheme="minorHAnsi" w:hAnsiTheme="minorHAnsi" w:cstheme="minorHAnsi"/>
          <w:szCs w:val="24"/>
        </w:rPr>
        <w:t xml:space="preserve">mercado de valores y </w:t>
      </w:r>
      <w:r w:rsidR="00B32D79" w:rsidRPr="0080490E">
        <w:rPr>
          <w:rFonts w:asciiTheme="minorHAnsi" w:hAnsiTheme="minorHAnsi" w:cstheme="minorHAnsi"/>
          <w:szCs w:val="24"/>
        </w:rPr>
        <w:t xml:space="preserve">la </w:t>
      </w:r>
      <w:r w:rsidR="005079C8" w:rsidRPr="0080490E">
        <w:rPr>
          <w:rFonts w:asciiTheme="minorHAnsi" w:hAnsiTheme="minorHAnsi" w:cstheme="minorHAnsi"/>
          <w:szCs w:val="24"/>
        </w:rPr>
        <w:t>financiación participativa.</w:t>
      </w:r>
    </w:p>
    <w:p w14:paraId="393CC10D" w14:textId="1976E450" w:rsidR="00D07C38" w:rsidRPr="0080490E" w:rsidRDefault="00D07C38"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Si </w:t>
      </w:r>
      <w:r w:rsidR="000E0C9C" w:rsidRPr="0080490E">
        <w:rPr>
          <w:rFonts w:asciiTheme="minorHAnsi" w:hAnsiTheme="minorHAnsi" w:cstheme="minorHAnsi"/>
          <w:szCs w:val="24"/>
        </w:rPr>
        <w:t xml:space="preserve">el contrato tokenizado </w:t>
      </w:r>
      <w:r w:rsidR="001E247A" w:rsidRPr="0080490E">
        <w:rPr>
          <w:rFonts w:asciiTheme="minorHAnsi" w:hAnsiTheme="minorHAnsi" w:cstheme="minorHAnsi"/>
          <w:szCs w:val="24"/>
        </w:rPr>
        <w:t>tampoco</w:t>
      </w:r>
      <w:r w:rsidRPr="0080490E">
        <w:rPr>
          <w:rFonts w:asciiTheme="minorHAnsi" w:hAnsiTheme="minorHAnsi" w:cstheme="minorHAnsi"/>
          <w:szCs w:val="24"/>
        </w:rPr>
        <w:t xml:space="preserve"> constituye un instrumento financiero hay que </w:t>
      </w:r>
      <w:r w:rsidR="00FF1D32" w:rsidRPr="0080490E">
        <w:rPr>
          <w:rFonts w:asciiTheme="minorHAnsi" w:hAnsiTheme="minorHAnsi" w:cstheme="minorHAnsi"/>
          <w:szCs w:val="24"/>
        </w:rPr>
        <w:t>re</w:t>
      </w:r>
      <w:r w:rsidRPr="0080490E">
        <w:rPr>
          <w:rFonts w:asciiTheme="minorHAnsi" w:hAnsiTheme="minorHAnsi" w:cstheme="minorHAnsi"/>
          <w:szCs w:val="24"/>
        </w:rPr>
        <w:t xml:space="preserve">considerar la aplicación del Reglamento MiCA. </w:t>
      </w:r>
      <w:r w:rsidR="0089095D" w:rsidRPr="0080490E">
        <w:rPr>
          <w:rFonts w:asciiTheme="minorHAnsi" w:hAnsiTheme="minorHAnsi" w:cstheme="minorHAnsi"/>
          <w:szCs w:val="24"/>
        </w:rPr>
        <w:t>E</w:t>
      </w:r>
      <w:r w:rsidRPr="0080490E">
        <w:rPr>
          <w:rFonts w:asciiTheme="minorHAnsi" w:hAnsiTheme="minorHAnsi" w:cstheme="minorHAnsi"/>
          <w:szCs w:val="24"/>
        </w:rPr>
        <w:t xml:space="preserve">l artículo 4 MiCA contiene una cláusula de inclusión o subsidiariedad conforme a la cual el Título II se aplica a todos </w:t>
      </w:r>
      <w:r w:rsidR="00684F96" w:rsidRPr="0080490E">
        <w:rPr>
          <w:rFonts w:asciiTheme="minorHAnsi" w:hAnsiTheme="minorHAnsi" w:cstheme="minorHAnsi"/>
          <w:szCs w:val="24"/>
        </w:rPr>
        <w:t xml:space="preserve">los </w:t>
      </w:r>
      <w:r w:rsidRPr="0080490E">
        <w:rPr>
          <w:rFonts w:asciiTheme="minorHAnsi" w:hAnsiTheme="minorHAnsi" w:cstheme="minorHAnsi"/>
          <w:szCs w:val="24"/>
        </w:rPr>
        <w:t xml:space="preserve">criptoactivos que no cuenten con una regulación </w:t>
      </w:r>
      <w:r w:rsidR="00AA689E" w:rsidRPr="0080490E">
        <w:rPr>
          <w:rFonts w:asciiTheme="minorHAnsi" w:hAnsiTheme="minorHAnsi" w:cstheme="minorHAnsi"/>
          <w:szCs w:val="24"/>
        </w:rPr>
        <w:t>específica</w:t>
      </w:r>
      <w:r w:rsidRPr="0080490E">
        <w:rPr>
          <w:rFonts w:asciiTheme="minorHAnsi" w:hAnsiTheme="minorHAnsi" w:cstheme="minorHAnsi"/>
          <w:szCs w:val="24"/>
        </w:rPr>
        <w:t xml:space="preserve"> ni estén expresamente excluidos de MiCA aunque no sean, estrictamente, </w:t>
      </w:r>
      <w:proofErr w:type="spellStart"/>
      <w:r w:rsidRPr="0080490E">
        <w:rPr>
          <w:rFonts w:asciiTheme="minorHAnsi" w:hAnsiTheme="minorHAnsi" w:cstheme="minorHAnsi"/>
          <w:i/>
          <w:iCs/>
          <w:szCs w:val="24"/>
        </w:rPr>
        <w:t>utility</w:t>
      </w:r>
      <w:proofErr w:type="spellEnd"/>
      <w:r w:rsidRPr="0080490E">
        <w:rPr>
          <w:rFonts w:asciiTheme="minorHAnsi" w:hAnsiTheme="minorHAnsi" w:cstheme="minorHAnsi"/>
          <w:i/>
          <w:iCs/>
          <w:szCs w:val="24"/>
        </w:rPr>
        <w:t xml:space="preserve"> tokens</w:t>
      </w:r>
      <w:r w:rsidR="006170A9" w:rsidRPr="0080490E">
        <w:rPr>
          <w:rStyle w:val="Refdenotaalpie"/>
          <w:rFonts w:asciiTheme="minorHAnsi" w:hAnsiTheme="minorHAnsi" w:cstheme="minorHAnsi"/>
          <w:szCs w:val="24"/>
        </w:rPr>
        <w:footnoteReference w:id="81"/>
      </w:r>
      <w:r w:rsidRPr="0080490E">
        <w:rPr>
          <w:rFonts w:asciiTheme="minorHAnsi" w:hAnsiTheme="minorHAnsi" w:cstheme="minorHAnsi"/>
          <w:szCs w:val="24"/>
        </w:rPr>
        <w:t xml:space="preserve">. Las </w:t>
      </w:r>
      <w:r w:rsidR="00AA689E" w:rsidRPr="0080490E">
        <w:rPr>
          <w:rFonts w:asciiTheme="minorHAnsi" w:hAnsiTheme="minorHAnsi" w:cstheme="minorHAnsi"/>
          <w:szCs w:val="24"/>
        </w:rPr>
        <w:t xml:space="preserve">amplias </w:t>
      </w:r>
      <w:r w:rsidRPr="0080490E">
        <w:rPr>
          <w:rFonts w:asciiTheme="minorHAnsi" w:hAnsiTheme="minorHAnsi" w:cstheme="minorHAnsi"/>
          <w:szCs w:val="24"/>
        </w:rPr>
        <w:t>definiciones de criptoactivo y de oferta pública (</w:t>
      </w:r>
      <w:r w:rsidR="00430C68" w:rsidRPr="0080490E">
        <w:rPr>
          <w:rFonts w:asciiTheme="minorHAnsi" w:hAnsiTheme="minorHAnsi" w:cstheme="minorHAnsi"/>
          <w:szCs w:val="24"/>
        </w:rPr>
        <w:t>arts.</w:t>
      </w:r>
      <w:r w:rsidRPr="0080490E">
        <w:rPr>
          <w:rFonts w:asciiTheme="minorHAnsi" w:hAnsiTheme="minorHAnsi" w:cstheme="minorHAnsi"/>
          <w:szCs w:val="24"/>
        </w:rPr>
        <w:t xml:space="preserve"> 3.1</w:t>
      </w:r>
      <w:r w:rsidR="00E730C0" w:rsidRPr="0080490E">
        <w:rPr>
          <w:rFonts w:asciiTheme="minorHAnsi" w:hAnsiTheme="minorHAnsi" w:cstheme="minorHAnsi"/>
          <w:szCs w:val="24"/>
        </w:rPr>
        <w:t>.</w:t>
      </w:r>
      <w:r w:rsidRPr="0080490E">
        <w:rPr>
          <w:rFonts w:asciiTheme="minorHAnsi" w:hAnsiTheme="minorHAnsi" w:cstheme="minorHAnsi"/>
          <w:szCs w:val="24"/>
        </w:rPr>
        <w:t xml:space="preserve">5 y 3.1.12 MiCA) sugieren que los tokens ofertados a través del modelo de negocio descrito queden bajo dicha regulación. </w:t>
      </w:r>
      <w:r w:rsidR="000E0C9C" w:rsidRPr="0080490E">
        <w:rPr>
          <w:rFonts w:asciiTheme="minorHAnsi" w:hAnsiTheme="minorHAnsi" w:cstheme="minorHAnsi"/>
          <w:szCs w:val="24"/>
        </w:rPr>
        <w:t>A la vista de ello, se rompe el principio de neutralidad tecnológica, ya que el Título II de</w:t>
      </w:r>
      <w:r w:rsidR="00AA689E" w:rsidRPr="0080490E">
        <w:rPr>
          <w:rFonts w:asciiTheme="minorHAnsi" w:hAnsiTheme="minorHAnsi" w:cstheme="minorHAnsi"/>
          <w:szCs w:val="24"/>
        </w:rPr>
        <w:t>l Reglamento</w:t>
      </w:r>
      <w:r w:rsidR="000E0C9C" w:rsidRPr="0080490E">
        <w:rPr>
          <w:rFonts w:asciiTheme="minorHAnsi" w:hAnsiTheme="minorHAnsi" w:cstheme="minorHAnsi"/>
          <w:szCs w:val="24"/>
        </w:rPr>
        <w:t xml:space="preserve"> MiCA se aplica a todos los criptoactivos, independientemente del </w:t>
      </w:r>
      <w:r w:rsidR="00653EDC" w:rsidRPr="0080490E">
        <w:rPr>
          <w:rFonts w:asciiTheme="minorHAnsi" w:hAnsiTheme="minorHAnsi" w:cstheme="minorHAnsi"/>
          <w:szCs w:val="24"/>
        </w:rPr>
        <w:t>derecho o realidad</w:t>
      </w:r>
      <w:r w:rsidR="0075699A" w:rsidRPr="0080490E">
        <w:rPr>
          <w:rFonts w:asciiTheme="minorHAnsi" w:hAnsiTheme="minorHAnsi" w:cstheme="minorHAnsi"/>
          <w:szCs w:val="24"/>
        </w:rPr>
        <w:t xml:space="preserve"> jurídica</w:t>
      </w:r>
      <w:r w:rsidR="000E0C9C" w:rsidRPr="0080490E">
        <w:rPr>
          <w:rFonts w:asciiTheme="minorHAnsi" w:hAnsiTheme="minorHAnsi" w:cstheme="minorHAnsi"/>
          <w:szCs w:val="24"/>
        </w:rPr>
        <w:t xml:space="preserve"> representad</w:t>
      </w:r>
      <w:r w:rsidR="00653EDC" w:rsidRPr="0080490E">
        <w:rPr>
          <w:rFonts w:asciiTheme="minorHAnsi" w:hAnsiTheme="minorHAnsi" w:cstheme="minorHAnsi"/>
          <w:szCs w:val="24"/>
        </w:rPr>
        <w:t>a</w:t>
      </w:r>
      <w:r w:rsidR="000E0C9C" w:rsidRPr="0080490E">
        <w:rPr>
          <w:rFonts w:asciiTheme="minorHAnsi" w:hAnsiTheme="minorHAnsi" w:cstheme="minorHAnsi"/>
          <w:szCs w:val="24"/>
        </w:rPr>
        <w:t>, siempre que no estén excluidos o sean fichas de dinero electrónico o referenciadas a activos.</w:t>
      </w:r>
    </w:p>
    <w:p w14:paraId="199F0C28" w14:textId="6D30E9B9" w:rsidR="00586A5D" w:rsidRPr="0080490E" w:rsidRDefault="00D07C38"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El empleo por parte del promotor de una plataforma en línea </w:t>
      </w:r>
      <w:r w:rsidR="009B6379" w:rsidRPr="0080490E">
        <w:rPr>
          <w:rFonts w:asciiTheme="minorHAnsi" w:hAnsiTheme="minorHAnsi" w:cstheme="minorHAnsi"/>
          <w:szCs w:val="24"/>
        </w:rPr>
        <w:t>para</w:t>
      </w:r>
      <w:r w:rsidRPr="0080490E">
        <w:rPr>
          <w:rFonts w:asciiTheme="minorHAnsi" w:hAnsiTheme="minorHAnsi" w:cstheme="minorHAnsi"/>
          <w:szCs w:val="24"/>
        </w:rPr>
        <w:t xml:space="preserve"> dotar de publicidad a la oferta, suscribir el contrato electrónico y </w:t>
      </w:r>
      <w:r w:rsidR="00B16B15" w:rsidRPr="0080490E">
        <w:rPr>
          <w:rFonts w:asciiTheme="minorHAnsi" w:hAnsiTheme="minorHAnsi" w:cstheme="minorHAnsi"/>
          <w:szCs w:val="24"/>
        </w:rPr>
        <w:t>transmitir</w:t>
      </w:r>
      <w:r w:rsidRPr="0080490E">
        <w:rPr>
          <w:rFonts w:asciiTheme="minorHAnsi" w:hAnsiTheme="minorHAnsi" w:cstheme="minorHAnsi"/>
          <w:szCs w:val="24"/>
        </w:rPr>
        <w:t xml:space="preserve"> los tokens podría considerarse como una oferta pública de criptoactivos</w:t>
      </w:r>
      <w:r w:rsidR="009B6379" w:rsidRPr="0080490E">
        <w:rPr>
          <w:rStyle w:val="Refdenotaalpie"/>
          <w:rFonts w:asciiTheme="minorHAnsi" w:hAnsiTheme="minorHAnsi" w:cstheme="minorHAnsi"/>
          <w:szCs w:val="24"/>
        </w:rPr>
        <w:footnoteReference w:id="82"/>
      </w:r>
      <w:r w:rsidRPr="0080490E">
        <w:rPr>
          <w:rFonts w:asciiTheme="minorHAnsi" w:hAnsiTheme="minorHAnsi" w:cstheme="minorHAnsi"/>
          <w:szCs w:val="24"/>
        </w:rPr>
        <w:t>. Se podría argumentar, no obstante, que no hay una auténtica oferta pública sino un ofrecimiento general para la celebración de contrato</w:t>
      </w:r>
      <w:r w:rsidR="009B6379" w:rsidRPr="0080490E">
        <w:rPr>
          <w:rFonts w:asciiTheme="minorHAnsi" w:hAnsiTheme="minorHAnsi" w:cstheme="minorHAnsi"/>
          <w:szCs w:val="24"/>
        </w:rPr>
        <w:t>s</w:t>
      </w:r>
      <w:r w:rsidRPr="0080490E">
        <w:rPr>
          <w:rFonts w:asciiTheme="minorHAnsi" w:hAnsiTheme="minorHAnsi" w:cstheme="minorHAnsi"/>
          <w:szCs w:val="24"/>
        </w:rPr>
        <w:t xml:space="preserve"> electrónico</w:t>
      </w:r>
      <w:r w:rsidR="009B6379" w:rsidRPr="0080490E">
        <w:rPr>
          <w:rFonts w:asciiTheme="minorHAnsi" w:hAnsiTheme="minorHAnsi" w:cstheme="minorHAnsi"/>
          <w:szCs w:val="24"/>
        </w:rPr>
        <w:t>s</w:t>
      </w:r>
      <w:r w:rsidRPr="0080490E">
        <w:rPr>
          <w:rFonts w:asciiTheme="minorHAnsi" w:hAnsiTheme="minorHAnsi" w:cstheme="minorHAnsi"/>
          <w:szCs w:val="24"/>
        </w:rPr>
        <w:t xml:space="preserve"> de financiación. Se trata de un argumento débil que, en el marco de los instrumentos financieros, se conjugaba con </w:t>
      </w:r>
      <w:r w:rsidR="00344837" w:rsidRPr="0080490E">
        <w:rPr>
          <w:rFonts w:asciiTheme="minorHAnsi" w:hAnsiTheme="minorHAnsi" w:cstheme="minorHAnsi"/>
          <w:szCs w:val="24"/>
        </w:rPr>
        <w:t xml:space="preserve">otro más fuerte como es </w:t>
      </w:r>
      <w:r w:rsidRPr="0080490E">
        <w:rPr>
          <w:rFonts w:asciiTheme="minorHAnsi" w:hAnsiTheme="minorHAnsi" w:cstheme="minorHAnsi"/>
          <w:szCs w:val="24"/>
        </w:rPr>
        <w:t xml:space="preserve">la transmisibilidad cualificada para negar la inclusión de </w:t>
      </w:r>
      <w:r w:rsidR="00AA689E" w:rsidRPr="0080490E">
        <w:rPr>
          <w:rFonts w:asciiTheme="minorHAnsi" w:hAnsiTheme="minorHAnsi" w:cstheme="minorHAnsi"/>
          <w:szCs w:val="24"/>
        </w:rPr>
        <w:t>estos</w:t>
      </w:r>
      <w:r w:rsidRPr="0080490E">
        <w:rPr>
          <w:rFonts w:asciiTheme="minorHAnsi" w:hAnsiTheme="minorHAnsi" w:cstheme="minorHAnsi"/>
          <w:szCs w:val="24"/>
        </w:rPr>
        <w:t xml:space="preserve"> tokens en</w:t>
      </w:r>
      <w:r w:rsidR="00AA689E" w:rsidRPr="0080490E">
        <w:rPr>
          <w:rFonts w:asciiTheme="minorHAnsi" w:hAnsiTheme="minorHAnsi" w:cstheme="minorHAnsi"/>
          <w:szCs w:val="24"/>
        </w:rPr>
        <w:t>tre</w:t>
      </w:r>
      <w:r w:rsidRPr="0080490E">
        <w:rPr>
          <w:rFonts w:asciiTheme="minorHAnsi" w:hAnsiTheme="minorHAnsi" w:cstheme="minorHAnsi"/>
          <w:szCs w:val="24"/>
        </w:rPr>
        <w:t xml:space="preserve"> </w:t>
      </w:r>
      <w:r w:rsidR="00AA689E" w:rsidRPr="0080490E">
        <w:rPr>
          <w:rFonts w:asciiTheme="minorHAnsi" w:hAnsiTheme="minorHAnsi" w:cstheme="minorHAnsi"/>
          <w:szCs w:val="24"/>
        </w:rPr>
        <w:t>los</w:t>
      </w:r>
      <w:r w:rsidRPr="0080490E">
        <w:rPr>
          <w:rFonts w:asciiTheme="minorHAnsi" w:hAnsiTheme="minorHAnsi" w:cstheme="minorHAnsi"/>
          <w:szCs w:val="24"/>
        </w:rPr>
        <w:t xml:space="preserve"> valores</w:t>
      </w:r>
      <w:r w:rsidR="00AA689E" w:rsidRPr="0080490E">
        <w:rPr>
          <w:rFonts w:asciiTheme="minorHAnsi" w:hAnsiTheme="minorHAnsi" w:cstheme="minorHAnsi"/>
          <w:szCs w:val="24"/>
        </w:rPr>
        <w:t xml:space="preserve"> negociables</w:t>
      </w:r>
      <w:r w:rsidRPr="0080490E">
        <w:rPr>
          <w:rFonts w:asciiTheme="minorHAnsi" w:hAnsiTheme="minorHAnsi" w:cstheme="minorHAnsi"/>
          <w:szCs w:val="24"/>
        </w:rPr>
        <w:t xml:space="preserve">. Dado que este segundo argumento no tiene la relevancia que tenía en aquel contexto, negar la aplicación de MiCA por inexistencia de una oferta pública resulta </w:t>
      </w:r>
      <w:r w:rsidR="00344837" w:rsidRPr="0080490E">
        <w:rPr>
          <w:rFonts w:asciiTheme="minorHAnsi" w:hAnsiTheme="minorHAnsi" w:cstheme="minorHAnsi"/>
          <w:szCs w:val="24"/>
        </w:rPr>
        <w:t xml:space="preserve">más </w:t>
      </w:r>
      <w:r w:rsidRPr="0080490E">
        <w:rPr>
          <w:rFonts w:asciiTheme="minorHAnsi" w:hAnsiTheme="minorHAnsi" w:cstheme="minorHAnsi"/>
          <w:szCs w:val="24"/>
        </w:rPr>
        <w:t xml:space="preserve">difícil. </w:t>
      </w:r>
      <w:r w:rsidR="00586A5D" w:rsidRPr="0080490E">
        <w:rPr>
          <w:rFonts w:asciiTheme="minorHAnsi" w:hAnsiTheme="minorHAnsi" w:cstheme="minorHAnsi"/>
          <w:szCs w:val="24"/>
        </w:rPr>
        <w:t xml:space="preserve">No obstante, el argumento contrario a la aplicación de MiCA se </w:t>
      </w:r>
      <w:r w:rsidR="00344837" w:rsidRPr="0080490E">
        <w:rPr>
          <w:rFonts w:asciiTheme="minorHAnsi" w:hAnsiTheme="minorHAnsi" w:cstheme="minorHAnsi"/>
          <w:szCs w:val="24"/>
        </w:rPr>
        <w:t>apoya</w:t>
      </w:r>
      <w:r w:rsidR="00341116" w:rsidRPr="0080490E">
        <w:rPr>
          <w:rFonts w:asciiTheme="minorHAnsi" w:hAnsiTheme="minorHAnsi" w:cstheme="minorHAnsi"/>
          <w:szCs w:val="24"/>
        </w:rPr>
        <w:t xml:space="preserve"> </w:t>
      </w:r>
      <w:r w:rsidR="00586A5D" w:rsidRPr="0080490E">
        <w:rPr>
          <w:rFonts w:asciiTheme="minorHAnsi" w:hAnsiTheme="minorHAnsi" w:cstheme="minorHAnsi"/>
          <w:szCs w:val="24"/>
        </w:rPr>
        <w:t xml:space="preserve">en </w:t>
      </w:r>
      <w:r w:rsidR="00501EF4" w:rsidRPr="0080490E">
        <w:rPr>
          <w:rFonts w:asciiTheme="minorHAnsi" w:hAnsiTheme="minorHAnsi" w:cstheme="minorHAnsi"/>
          <w:szCs w:val="24"/>
        </w:rPr>
        <w:t>su propio</w:t>
      </w:r>
      <w:r w:rsidR="00586A5D" w:rsidRPr="0080490E">
        <w:rPr>
          <w:rFonts w:asciiTheme="minorHAnsi" w:hAnsiTheme="minorHAnsi" w:cstheme="minorHAnsi"/>
          <w:szCs w:val="24"/>
        </w:rPr>
        <w:t xml:space="preserve"> Considerando 28 según el cual «la publicación de los precios de compra y venta no debe considerarse, en sí o por sí misma, una oferta pública de criptoactivos. Dicha admisión o publicación solo debe constituir una oferta pública de criptoactivos cuando incluya una </w:t>
      </w:r>
      <w:r w:rsidR="00586A5D" w:rsidRPr="0080490E">
        <w:rPr>
          <w:rFonts w:asciiTheme="minorHAnsi" w:hAnsiTheme="minorHAnsi" w:cstheme="minorHAnsi"/>
          <w:i/>
          <w:iCs/>
          <w:szCs w:val="24"/>
        </w:rPr>
        <w:t>comunicación</w:t>
      </w:r>
      <w:r w:rsidR="00586A5D" w:rsidRPr="0080490E">
        <w:rPr>
          <w:rFonts w:asciiTheme="minorHAnsi" w:hAnsiTheme="minorHAnsi" w:cstheme="minorHAnsi"/>
          <w:szCs w:val="24"/>
        </w:rPr>
        <w:t xml:space="preserve"> que constituya una oferta pública con arreglo al presente Reglamento».</w:t>
      </w:r>
      <w:r w:rsidR="00FA663C" w:rsidRPr="0080490E">
        <w:rPr>
          <w:rFonts w:asciiTheme="minorHAnsi" w:hAnsiTheme="minorHAnsi" w:cstheme="minorHAnsi"/>
          <w:szCs w:val="24"/>
        </w:rPr>
        <w:t xml:space="preserve"> De ahí que la ausencia de tales comunicaciones publicitarias implique la ausencia de oferta pública de tokens y, por tanto, la exclusión de MiCA.</w:t>
      </w:r>
    </w:p>
    <w:p w14:paraId="6AC6D4E1" w14:textId="2A6361A7" w:rsidR="00D07C38" w:rsidRPr="0080490E" w:rsidRDefault="00D07C38"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Si</w:t>
      </w:r>
      <w:r w:rsidR="00423458" w:rsidRPr="0080490E">
        <w:rPr>
          <w:rFonts w:asciiTheme="minorHAnsi" w:hAnsiTheme="minorHAnsi" w:cstheme="minorHAnsi"/>
          <w:szCs w:val="24"/>
        </w:rPr>
        <w:t xml:space="preserve">, a pesar de lo anterior, MiCA resultara de aplicación es preciso señalar que </w:t>
      </w:r>
      <w:r w:rsidRPr="0080490E">
        <w:rPr>
          <w:rFonts w:asciiTheme="minorHAnsi" w:hAnsiTheme="minorHAnsi" w:cstheme="minorHAnsi"/>
          <w:szCs w:val="24"/>
        </w:rPr>
        <w:t>el régimen del Título II es el menos estricto y, además, contiene una importante cláusula de exclusión cuando la oferta pública de criptoactivos no exceda de 1.000.000€ (art</w:t>
      </w:r>
      <w:r w:rsidR="004163DA" w:rsidRPr="0080490E">
        <w:rPr>
          <w:rFonts w:asciiTheme="minorHAnsi" w:hAnsiTheme="minorHAnsi" w:cstheme="minorHAnsi"/>
          <w:szCs w:val="24"/>
        </w:rPr>
        <w:t>.</w:t>
      </w:r>
      <w:r w:rsidRPr="0080490E">
        <w:rPr>
          <w:rFonts w:asciiTheme="minorHAnsi" w:hAnsiTheme="minorHAnsi" w:cstheme="minorHAnsi"/>
          <w:szCs w:val="24"/>
        </w:rPr>
        <w:t xml:space="preserve"> 4.2.b) </w:t>
      </w:r>
      <w:r w:rsidRPr="0080490E">
        <w:rPr>
          <w:rFonts w:asciiTheme="minorHAnsi" w:hAnsiTheme="minorHAnsi" w:cstheme="minorHAnsi"/>
          <w:szCs w:val="24"/>
        </w:rPr>
        <w:lastRenderedPageBreak/>
        <w:t>MiCA)</w:t>
      </w:r>
      <w:r w:rsidRPr="0080490E">
        <w:rPr>
          <w:rStyle w:val="Refdenotaalpie"/>
          <w:rFonts w:asciiTheme="minorHAnsi" w:hAnsiTheme="minorHAnsi" w:cstheme="minorHAnsi"/>
          <w:szCs w:val="24"/>
        </w:rPr>
        <w:footnoteReference w:id="83"/>
      </w:r>
      <w:r w:rsidRPr="0080490E">
        <w:rPr>
          <w:rFonts w:asciiTheme="minorHAnsi" w:hAnsiTheme="minorHAnsi" w:cstheme="minorHAnsi"/>
          <w:szCs w:val="24"/>
        </w:rPr>
        <w:t xml:space="preserve">. </w:t>
      </w:r>
      <w:r w:rsidR="00341116" w:rsidRPr="0080490E">
        <w:rPr>
          <w:rFonts w:asciiTheme="minorHAnsi" w:hAnsiTheme="minorHAnsi" w:cstheme="minorHAnsi"/>
          <w:szCs w:val="24"/>
        </w:rPr>
        <w:t>Entre otras cuestiones</w:t>
      </w:r>
      <w:r w:rsidRPr="0080490E">
        <w:rPr>
          <w:rFonts w:asciiTheme="minorHAnsi" w:hAnsiTheme="minorHAnsi" w:cstheme="minorHAnsi"/>
          <w:szCs w:val="24"/>
        </w:rPr>
        <w:t xml:space="preserve">, si no se alcanza el mínimo </w:t>
      </w:r>
      <w:r w:rsidR="00341116" w:rsidRPr="0080490E">
        <w:rPr>
          <w:rFonts w:asciiTheme="minorHAnsi" w:hAnsiTheme="minorHAnsi" w:cstheme="minorHAnsi"/>
          <w:szCs w:val="24"/>
        </w:rPr>
        <w:t xml:space="preserve">legal </w:t>
      </w:r>
      <w:r w:rsidRPr="0080490E">
        <w:rPr>
          <w:rFonts w:asciiTheme="minorHAnsi" w:hAnsiTheme="minorHAnsi" w:cstheme="minorHAnsi"/>
          <w:szCs w:val="24"/>
        </w:rPr>
        <w:t xml:space="preserve">el </w:t>
      </w:r>
      <w:proofErr w:type="spellStart"/>
      <w:r w:rsidRPr="0080490E">
        <w:rPr>
          <w:rFonts w:asciiTheme="minorHAnsi" w:hAnsiTheme="minorHAnsi" w:cstheme="minorHAnsi"/>
          <w:i/>
          <w:iCs/>
          <w:szCs w:val="24"/>
        </w:rPr>
        <w:t>whitepaper</w:t>
      </w:r>
      <w:proofErr w:type="spellEnd"/>
      <w:r w:rsidRPr="0080490E">
        <w:rPr>
          <w:rFonts w:asciiTheme="minorHAnsi" w:hAnsiTheme="minorHAnsi" w:cstheme="minorHAnsi"/>
          <w:szCs w:val="24"/>
        </w:rPr>
        <w:t xml:space="preserve"> que se elabore para la emisión de los tokens no </w:t>
      </w:r>
      <w:r w:rsidR="00727DD8" w:rsidRPr="0080490E">
        <w:rPr>
          <w:rFonts w:asciiTheme="minorHAnsi" w:hAnsiTheme="minorHAnsi" w:cstheme="minorHAnsi"/>
          <w:szCs w:val="24"/>
        </w:rPr>
        <w:t xml:space="preserve">deberá </w:t>
      </w:r>
      <w:r w:rsidRPr="0080490E">
        <w:rPr>
          <w:rFonts w:asciiTheme="minorHAnsi" w:hAnsiTheme="minorHAnsi" w:cstheme="minorHAnsi"/>
          <w:szCs w:val="24"/>
        </w:rPr>
        <w:t>ser previamente notificado a la CNMV</w:t>
      </w:r>
      <w:r w:rsidR="00375C3E" w:rsidRPr="0080490E">
        <w:rPr>
          <w:rStyle w:val="Refdenotaalpie"/>
          <w:rFonts w:asciiTheme="minorHAnsi" w:hAnsiTheme="minorHAnsi" w:cstheme="minorHAnsi"/>
          <w:szCs w:val="24"/>
        </w:rPr>
        <w:footnoteReference w:id="84"/>
      </w:r>
      <w:r w:rsidRPr="0080490E">
        <w:rPr>
          <w:rFonts w:asciiTheme="minorHAnsi" w:hAnsiTheme="minorHAnsi" w:cstheme="minorHAnsi"/>
          <w:szCs w:val="24"/>
        </w:rPr>
        <w:t>.</w:t>
      </w:r>
      <w:r w:rsidR="00110A30" w:rsidRPr="0080490E">
        <w:rPr>
          <w:rFonts w:asciiTheme="minorHAnsi" w:hAnsiTheme="minorHAnsi" w:cstheme="minorHAnsi"/>
          <w:szCs w:val="24"/>
        </w:rPr>
        <w:t xml:space="preserve"> Además, a diferencia de las fichas referenciadas a activos o las de dinero electrónico no se precisa</w:t>
      </w:r>
      <w:r w:rsidR="00AC24D8" w:rsidRPr="0080490E">
        <w:rPr>
          <w:rFonts w:asciiTheme="minorHAnsi" w:hAnsiTheme="minorHAnsi" w:cstheme="minorHAnsi"/>
          <w:szCs w:val="24"/>
        </w:rPr>
        <w:t xml:space="preserve"> tampoco</w:t>
      </w:r>
      <w:r w:rsidR="00110A30" w:rsidRPr="0080490E">
        <w:rPr>
          <w:rFonts w:asciiTheme="minorHAnsi" w:hAnsiTheme="minorHAnsi" w:cstheme="minorHAnsi"/>
          <w:szCs w:val="24"/>
        </w:rPr>
        <w:t xml:space="preserve"> la previa autorización del emisor de los tokens (</w:t>
      </w:r>
      <w:r w:rsidR="00430C68" w:rsidRPr="0080490E">
        <w:rPr>
          <w:rFonts w:asciiTheme="minorHAnsi" w:hAnsiTheme="minorHAnsi" w:cstheme="minorHAnsi"/>
          <w:szCs w:val="24"/>
        </w:rPr>
        <w:t>arts.</w:t>
      </w:r>
      <w:r w:rsidR="00110A30" w:rsidRPr="0080490E">
        <w:rPr>
          <w:rFonts w:asciiTheme="minorHAnsi" w:hAnsiTheme="minorHAnsi" w:cstheme="minorHAnsi"/>
          <w:szCs w:val="24"/>
        </w:rPr>
        <w:t xml:space="preserve"> 4</w:t>
      </w:r>
      <w:r w:rsidR="00E57CFA" w:rsidRPr="0080490E">
        <w:rPr>
          <w:rFonts w:asciiTheme="minorHAnsi" w:hAnsiTheme="minorHAnsi" w:cstheme="minorHAnsi"/>
          <w:szCs w:val="24"/>
        </w:rPr>
        <w:t>.5</w:t>
      </w:r>
      <w:r w:rsidR="00110A30" w:rsidRPr="0080490E">
        <w:rPr>
          <w:rFonts w:asciiTheme="minorHAnsi" w:hAnsiTheme="minorHAnsi" w:cstheme="minorHAnsi"/>
          <w:szCs w:val="24"/>
        </w:rPr>
        <w:t>, 16 y 48 MiCA)</w:t>
      </w:r>
      <w:r w:rsidR="00D21782" w:rsidRPr="0080490E">
        <w:rPr>
          <w:rStyle w:val="Refdenotaalpie"/>
          <w:rFonts w:asciiTheme="minorHAnsi" w:hAnsiTheme="minorHAnsi" w:cstheme="minorHAnsi"/>
          <w:szCs w:val="24"/>
        </w:rPr>
        <w:footnoteReference w:id="85"/>
      </w:r>
      <w:r w:rsidR="00110A30" w:rsidRPr="0080490E">
        <w:rPr>
          <w:rFonts w:asciiTheme="minorHAnsi" w:hAnsiTheme="minorHAnsi" w:cstheme="minorHAnsi"/>
          <w:szCs w:val="24"/>
        </w:rPr>
        <w:t>.</w:t>
      </w:r>
    </w:p>
    <w:p w14:paraId="5EE1A37D" w14:textId="77777777" w:rsidR="00692694" w:rsidRPr="0080490E" w:rsidRDefault="00692694" w:rsidP="0080490E">
      <w:pPr>
        <w:spacing w:after="0" w:line="276" w:lineRule="auto"/>
        <w:ind w:firstLine="0"/>
        <w:rPr>
          <w:rFonts w:asciiTheme="minorHAnsi" w:hAnsiTheme="minorHAnsi" w:cstheme="minorHAnsi"/>
          <w:szCs w:val="24"/>
          <w:lang w:eastAsia="es-ES_tradnl"/>
        </w:rPr>
      </w:pPr>
    </w:p>
    <w:p w14:paraId="2D3DBF25" w14:textId="278EF2CC" w:rsidR="00562007" w:rsidRPr="0080490E" w:rsidRDefault="00BC16ED" w:rsidP="0080490E">
      <w:pPr>
        <w:pStyle w:val="Ttulo2"/>
        <w:spacing w:after="0" w:line="276" w:lineRule="auto"/>
        <w:ind w:firstLine="0"/>
        <w:rPr>
          <w:rFonts w:asciiTheme="minorHAnsi" w:hAnsiTheme="minorHAnsi" w:cstheme="minorHAnsi"/>
          <w:szCs w:val="24"/>
        </w:rPr>
      </w:pPr>
      <w:r w:rsidRPr="0080490E">
        <w:rPr>
          <w:rFonts w:asciiTheme="minorHAnsi" w:hAnsiTheme="minorHAnsi" w:cstheme="minorHAnsi"/>
          <w:szCs w:val="24"/>
        </w:rPr>
        <w:t>6.</w:t>
      </w:r>
      <w:r w:rsidR="00F0187C" w:rsidRPr="0080490E">
        <w:rPr>
          <w:rFonts w:asciiTheme="minorHAnsi" w:hAnsiTheme="minorHAnsi" w:cstheme="minorHAnsi"/>
          <w:szCs w:val="24"/>
        </w:rPr>
        <w:t>4</w:t>
      </w:r>
      <w:r w:rsidRPr="0080490E">
        <w:rPr>
          <w:rFonts w:asciiTheme="minorHAnsi" w:hAnsiTheme="minorHAnsi" w:cstheme="minorHAnsi"/>
          <w:szCs w:val="24"/>
        </w:rPr>
        <w:t xml:space="preserve"> </w:t>
      </w:r>
      <w:r w:rsidR="00562007" w:rsidRPr="0080490E">
        <w:rPr>
          <w:rFonts w:asciiTheme="minorHAnsi" w:hAnsiTheme="minorHAnsi" w:cstheme="minorHAnsi"/>
          <w:szCs w:val="24"/>
        </w:rPr>
        <w:t xml:space="preserve">Inversión </w:t>
      </w:r>
      <w:r w:rsidR="007A2471" w:rsidRPr="0080490E">
        <w:rPr>
          <w:rFonts w:asciiTheme="minorHAnsi" w:hAnsiTheme="minorHAnsi" w:cstheme="minorHAnsi"/>
          <w:szCs w:val="24"/>
        </w:rPr>
        <w:t xml:space="preserve">tokenizada </w:t>
      </w:r>
      <w:r w:rsidR="00591513" w:rsidRPr="0080490E">
        <w:rPr>
          <w:rFonts w:asciiTheme="minorHAnsi" w:hAnsiTheme="minorHAnsi" w:cstheme="minorHAnsi"/>
          <w:szCs w:val="24"/>
        </w:rPr>
        <w:t>en</w:t>
      </w:r>
      <w:r w:rsidRPr="0080490E">
        <w:rPr>
          <w:rFonts w:asciiTheme="minorHAnsi" w:hAnsiTheme="minorHAnsi" w:cstheme="minorHAnsi"/>
          <w:szCs w:val="24"/>
        </w:rPr>
        <w:t xml:space="preserve"> la Ley de los Mercados de Valores y de los Servicios de Inversión</w:t>
      </w:r>
    </w:p>
    <w:p w14:paraId="6EECCDD5" w14:textId="0855CB56" w:rsidR="000732E4" w:rsidRPr="0080490E" w:rsidRDefault="004C53D3"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La Ley 6/2023, de 17 de marzo, de los Mercados de Valores y de los Servicios de Inversión</w:t>
      </w:r>
      <w:r w:rsidR="002B58BE" w:rsidRPr="0080490E">
        <w:rPr>
          <w:rFonts w:asciiTheme="minorHAnsi" w:hAnsiTheme="minorHAnsi" w:cstheme="minorHAnsi"/>
          <w:szCs w:val="24"/>
        </w:rPr>
        <w:t xml:space="preserve"> establece un novedoso marco de</w:t>
      </w:r>
      <w:r w:rsidRPr="0080490E">
        <w:rPr>
          <w:rFonts w:asciiTheme="minorHAnsi" w:hAnsiTheme="minorHAnsi" w:cstheme="minorHAnsi"/>
          <w:szCs w:val="24"/>
        </w:rPr>
        <w:t xml:space="preserve"> relación entre el mercado de valores y los criptoactivos. </w:t>
      </w:r>
      <w:r w:rsidR="007E39C8" w:rsidRPr="0080490E">
        <w:rPr>
          <w:rFonts w:asciiTheme="minorHAnsi" w:hAnsiTheme="minorHAnsi" w:cstheme="minorHAnsi"/>
          <w:szCs w:val="24"/>
        </w:rPr>
        <w:t>Se podría decir que e</w:t>
      </w:r>
      <w:r w:rsidR="000732E4" w:rsidRPr="0080490E">
        <w:rPr>
          <w:rFonts w:asciiTheme="minorHAnsi" w:hAnsiTheme="minorHAnsi" w:cstheme="minorHAnsi"/>
          <w:szCs w:val="24"/>
        </w:rPr>
        <w:t xml:space="preserve">sta reforma obedece a tres motivos. En primer lugar, la falta de respaldo </w:t>
      </w:r>
      <w:r w:rsidR="00872116" w:rsidRPr="0080490E">
        <w:rPr>
          <w:rFonts w:asciiTheme="minorHAnsi" w:hAnsiTheme="minorHAnsi" w:cstheme="minorHAnsi"/>
          <w:szCs w:val="24"/>
        </w:rPr>
        <w:t xml:space="preserve">normativo </w:t>
      </w:r>
      <w:r w:rsidR="000732E4" w:rsidRPr="0080490E">
        <w:rPr>
          <w:rFonts w:asciiTheme="minorHAnsi" w:hAnsiTheme="minorHAnsi" w:cstheme="minorHAnsi"/>
          <w:szCs w:val="24"/>
        </w:rPr>
        <w:t>para la interpretación extensiva realizada por la CNMV</w:t>
      </w:r>
      <w:r w:rsidR="00E35B1F" w:rsidRPr="0080490E">
        <w:rPr>
          <w:rFonts w:asciiTheme="minorHAnsi" w:hAnsiTheme="minorHAnsi" w:cstheme="minorHAnsi"/>
          <w:szCs w:val="24"/>
        </w:rPr>
        <w:t xml:space="preserve"> </w:t>
      </w:r>
      <w:r w:rsidR="007E39C8" w:rsidRPr="0080490E">
        <w:rPr>
          <w:rFonts w:asciiTheme="minorHAnsi" w:hAnsiTheme="minorHAnsi" w:cstheme="minorHAnsi"/>
          <w:szCs w:val="24"/>
        </w:rPr>
        <w:t>respecto a la naturaleza de los tokens en el ámbito de la inversión</w:t>
      </w:r>
      <w:r w:rsidR="000732E4" w:rsidRPr="0080490E">
        <w:rPr>
          <w:rFonts w:asciiTheme="minorHAnsi" w:hAnsiTheme="minorHAnsi" w:cstheme="minorHAnsi"/>
          <w:szCs w:val="24"/>
        </w:rPr>
        <w:t xml:space="preserve">. En segundo término, </w:t>
      </w:r>
      <w:r w:rsidR="00691E25" w:rsidRPr="0080490E">
        <w:rPr>
          <w:rFonts w:asciiTheme="minorHAnsi" w:hAnsiTheme="minorHAnsi" w:cstheme="minorHAnsi"/>
          <w:szCs w:val="24"/>
        </w:rPr>
        <w:t>la aprobación del Reglamento (UE) 2022/858 del Parlamento Europeo y del Consejo, de 30 de mayo de 2022, sobre un régimen piloto de infraestructuras del mercado basadas en la tecnología de registro descentralizado</w:t>
      </w:r>
      <w:r w:rsidR="000732E4" w:rsidRPr="0080490E">
        <w:rPr>
          <w:rFonts w:asciiTheme="minorHAnsi" w:hAnsiTheme="minorHAnsi" w:cstheme="minorHAnsi"/>
          <w:szCs w:val="24"/>
        </w:rPr>
        <w:t>. En tercer lugar,</w:t>
      </w:r>
      <w:r w:rsidR="00691E25" w:rsidRPr="0080490E">
        <w:rPr>
          <w:rFonts w:asciiTheme="minorHAnsi" w:hAnsiTheme="minorHAnsi" w:cstheme="minorHAnsi"/>
          <w:szCs w:val="24"/>
        </w:rPr>
        <w:t xml:space="preserve"> la admisión de los instrumentos financieros tokenizados tras la reforma de la Directiva </w:t>
      </w:r>
      <w:proofErr w:type="spellStart"/>
      <w:r w:rsidR="00691E25" w:rsidRPr="0080490E">
        <w:rPr>
          <w:rFonts w:asciiTheme="minorHAnsi" w:hAnsiTheme="minorHAnsi" w:cstheme="minorHAnsi"/>
          <w:szCs w:val="24"/>
        </w:rPr>
        <w:t>MiFID</w:t>
      </w:r>
      <w:proofErr w:type="spellEnd"/>
      <w:r w:rsidR="00691E25" w:rsidRPr="0080490E">
        <w:rPr>
          <w:rFonts w:asciiTheme="minorHAnsi" w:hAnsiTheme="minorHAnsi" w:cstheme="minorHAnsi"/>
          <w:szCs w:val="24"/>
        </w:rPr>
        <w:t xml:space="preserve"> II por parte del Reglamento Piloto</w:t>
      </w:r>
      <w:r w:rsidR="00941F56" w:rsidRPr="0080490E">
        <w:rPr>
          <w:rStyle w:val="Refdenotaalpie"/>
          <w:rFonts w:asciiTheme="minorHAnsi" w:hAnsiTheme="minorHAnsi" w:cstheme="minorHAnsi"/>
          <w:szCs w:val="24"/>
        </w:rPr>
        <w:footnoteReference w:id="86"/>
      </w:r>
      <w:r w:rsidR="000732E4" w:rsidRPr="0080490E">
        <w:rPr>
          <w:rFonts w:asciiTheme="minorHAnsi" w:hAnsiTheme="minorHAnsi" w:cstheme="minorHAnsi"/>
          <w:szCs w:val="24"/>
        </w:rPr>
        <w:t>.</w:t>
      </w:r>
    </w:p>
    <w:p w14:paraId="25D145F0" w14:textId="5ADD5ED7" w:rsidR="00EC713E" w:rsidRPr="0080490E" w:rsidRDefault="00872116"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Su</w:t>
      </w:r>
      <w:r w:rsidR="000F588C" w:rsidRPr="0080490E">
        <w:rPr>
          <w:rFonts w:asciiTheme="minorHAnsi" w:hAnsiTheme="minorHAnsi" w:cstheme="minorHAnsi"/>
          <w:szCs w:val="24"/>
        </w:rPr>
        <w:t xml:space="preserve"> principal novedad es que los valores negociables pueden representarse mediante sistemas basados en tecnología de registros distribuidos</w:t>
      </w:r>
      <w:r w:rsidR="000A2FEC" w:rsidRPr="0080490E">
        <w:rPr>
          <w:rFonts w:asciiTheme="minorHAnsi" w:hAnsiTheme="minorHAnsi" w:cstheme="minorHAnsi"/>
          <w:szCs w:val="24"/>
        </w:rPr>
        <w:t xml:space="preserve"> (</w:t>
      </w:r>
      <w:r w:rsidR="00430C68" w:rsidRPr="0080490E">
        <w:rPr>
          <w:rFonts w:asciiTheme="minorHAnsi" w:hAnsiTheme="minorHAnsi" w:cstheme="minorHAnsi"/>
          <w:szCs w:val="24"/>
        </w:rPr>
        <w:t>art.</w:t>
      </w:r>
      <w:r w:rsidR="000A2FEC" w:rsidRPr="0080490E">
        <w:rPr>
          <w:rFonts w:asciiTheme="minorHAnsi" w:hAnsiTheme="minorHAnsi" w:cstheme="minorHAnsi"/>
          <w:szCs w:val="24"/>
        </w:rPr>
        <w:t xml:space="preserve"> 6.1 LMVSI)</w:t>
      </w:r>
      <w:r w:rsidR="00EC1CA9" w:rsidRPr="0080490E">
        <w:rPr>
          <w:rStyle w:val="Refdenotaalpie"/>
          <w:rFonts w:asciiTheme="minorHAnsi" w:hAnsiTheme="minorHAnsi" w:cstheme="minorHAnsi"/>
          <w:szCs w:val="24"/>
        </w:rPr>
        <w:footnoteReference w:id="87"/>
      </w:r>
      <w:r w:rsidR="000732E4" w:rsidRPr="0080490E">
        <w:rPr>
          <w:rFonts w:asciiTheme="minorHAnsi" w:hAnsiTheme="minorHAnsi" w:cstheme="minorHAnsi"/>
          <w:szCs w:val="24"/>
        </w:rPr>
        <w:t>.</w:t>
      </w:r>
      <w:r w:rsidR="002035AB" w:rsidRPr="0080490E">
        <w:rPr>
          <w:rFonts w:asciiTheme="minorHAnsi" w:hAnsiTheme="minorHAnsi" w:cstheme="minorHAnsi"/>
          <w:szCs w:val="24"/>
        </w:rPr>
        <w:t xml:space="preserve"> </w:t>
      </w:r>
      <w:r w:rsidR="00C928F1" w:rsidRPr="0080490E">
        <w:rPr>
          <w:rFonts w:asciiTheme="minorHAnsi" w:hAnsiTheme="minorHAnsi" w:cstheme="minorHAnsi"/>
          <w:szCs w:val="24"/>
        </w:rPr>
        <w:t>Por ello</w:t>
      </w:r>
      <w:r w:rsidR="002035AB" w:rsidRPr="0080490E">
        <w:rPr>
          <w:rFonts w:asciiTheme="minorHAnsi" w:hAnsiTheme="minorHAnsi" w:cstheme="minorHAnsi"/>
          <w:szCs w:val="24"/>
        </w:rPr>
        <w:t xml:space="preserve">, «el </w:t>
      </w:r>
      <w:proofErr w:type="spellStart"/>
      <w:r w:rsidR="002035AB" w:rsidRPr="0080490E">
        <w:rPr>
          <w:rFonts w:asciiTheme="minorHAnsi" w:hAnsiTheme="minorHAnsi" w:cstheme="minorHAnsi"/>
          <w:i/>
          <w:iCs/>
          <w:szCs w:val="24"/>
        </w:rPr>
        <w:lastRenderedPageBreak/>
        <w:t>security</w:t>
      </w:r>
      <w:proofErr w:type="spellEnd"/>
      <w:r w:rsidR="002035AB" w:rsidRPr="0080490E">
        <w:rPr>
          <w:rFonts w:asciiTheme="minorHAnsi" w:hAnsiTheme="minorHAnsi" w:cstheme="minorHAnsi"/>
          <w:i/>
          <w:iCs/>
          <w:szCs w:val="24"/>
        </w:rPr>
        <w:t xml:space="preserve"> token</w:t>
      </w:r>
      <w:r w:rsidR="002035AB" w:rsidRPr="0080490E">
        <w:rPr>
          <w:rFonts w:asciiTheme="minorHAnsi" w:hAnsiTheme="minorHAnsi" w:cstheme="minorHAnsi"/>
          <w:szCs w:val="24"/>
        </w:rPr>
        <w:t xml:space="preserve"> es una nueva forma de representación de los derechos que se crea y emite, ya directamente en el registro descentralizado, ya por representación </w:t>
      </w:r>
      <w:proofErr w:type="spellStart"/>
      <w:r w:rsidR="002035AB" w:rsidRPr="0080490E">
        <w:rPr>
          <w:rFonts w:asciiTheme="minorHAnsi" w:hAnsiTheme="minorHAnsi" w:cstheme="minorHAnsi"/>
          <w:szCs w:val="24"/>
        </w:rPr>
        <w:t>toquenizada</w:t>
      </w:r>
      <w:proofErr w:type="spellEnd"/>
      <w:r w:rsidR="002035AB" w:rsidRPr="0080490E">
        <w:rPr>
          <w:rFonts w:asciiTheme="minorHAnsi" w:hAnsiTheme="minorHAnsi" w:cstheme="minorHAnsi"/>
          <w:szCs w:val="24"/>
        </w:rPr>
        <w:t xml:space="preserve"> de un valor negociable tradicional (una acción, una obligación) que utiliza esta nueva tecnología para su transmisión»</w:t>
      </w:r>
      <w:r w:rsidR="002035AB" w:rsidRPr="0080490E">
        <w:rPr>
          <w:rStyle w:val="Refdenotaalpie"/>
          <w:rFonts w:asciiTheme="minorHAnsi" w:hAnsiTheme="minorHAnsi" w:cstheme="minorHAnsi"/>
          <w:szCs w:val="24"/>
        </w:rPr>
        <w:footnoteReference w:id="88"/>
      </w:r>
      <w:r w:rsidR="002035AB" w:rsidRPr="0080490E">
        <w:rPr>
          <w:rFonts w:asciiTheme="minorHAnsi" w:hAnsiTheme="minorHAnsi" w:cstheme="minorHAnsi"/>
          <w:szCs w:val="24"/>
        </w:rPr>
        <w:t>.</w:t>
      </w:r>
      <w:r w:rsidR="00C928F1" w:rsidRPr="0080490E">
        <w:rPr>
          <w:rFonts w:asciiTheme="minorHAnsi" w:hAnsiTheme="minorHAnsi" w:cstheme="minorHAnsi"/>
          <w:szCs w:val="24"/>
        </w:rPr>
        <w:t xml:space="preserve"> </w:t>
      </w:r>
      <w:r w:rsidR="00E35B1F" w:rsidRPr="0080490E">
        <w:rPr>
          <w:rFonts w:asciiTheme="minorHAnsi" w:hAnsiTheme="minorHAnsi" w:cstheme="minorHAnsi"/>
          <w:szCs w:val="24"/>
        </w:rPr>
        <w:t>La reforma permite</w:t>
      </w:r>
      <w:r w:rsidR="0091739E" w:rsidRPr="0080490E">
        <w:rPr>
          <w:rFonts w:asciiTheme="minorHAnsi" w:hAnsiTheme="minorHAnsi" w:cstheme="minorHAnsi"/>
          <w:szCs w:val="24"/>
        </w:rPr>
        <w:t>, por tanto,</w:t>
      </w:r>
      <w:r w:rsidR="00E35B1F" w:rsidRPr="0080490E">
        <w:rPr>
          <w:rFonts w:asciiTheme="minorHAnsi" w:hAnsiTheme="minorHAnsi" w:cstheme="minorHAnsi"/>
          <w:szCs w:val="24"/>
        </w:rPr>
        <w:t xml:space="preserve"> emitir y comercializar un</w:t>
      </w:r>
      <w:r w:rsidR="00EB384D" w:rsidRPr="0080490E">
        <w:rPr>
          <w:rFonts w:asciiTheme="minorHAnsi" w:hAnsiTheme="minorHAnsi" w:cstheme="minorHAnsi"/>
          <w:szCs w:val="24"/>
        </w:rPr>
        <w:t xml:space="preserve"> token </w:t>
      </w:r>
      <w:r w:rsidRPr="0080490E">
        <w:rPr>
          <w:rFonts w:asciiTheme="minorHAnsi" w:hAnsiTheme="minorHAnsi" w:cstheme="minorHAnsi"/>
          <w:szCs w:val="24"/>
        </w:rPr>
        <w:t>conforme</w:t>
      </w:r>
      <w:r w:rsidR="00EB384D" w:rsidRPr="0080490E">
        <w:rPr>
          <w:rFonts w:asciiTheme="minorHAnsi" w:hAnsiTheme="minorHAnsi" w:cstheme="minorHAnsi"/>
          <w:szCs w:val="24"/>
        </w:rPr>
        <w:t xml:space="preserve"> a la legislación del mercado de valores. De este modo, no será preciso acudir a la vía artificial de tokenización de un contrato </w:t>
      </w:r>
      <w:r w:rsidRPr="0080490E">
        <w:rPr>
          <w:rFonts w:asciiTheme="minorHAnsi" w:hAnsiTheme="minorHAnsi" w:cstheme="minorHAnsi"/>
          <w:szCs w:val="24"/>
        </w:rPr>
        <w:t xml:space="preserve">electrónico </w:t>
      </w:r>
      <w:r w:rsidR="00EB384D" w:rsidRPr="0080490E">
        <w:rPr>
          <w:rFonts w:asciiTheme="minorHAnsi" w:hAnsiTheme="minorHAnsi" w:cstheme="minorHAnsi"/>
          <w:szCs w:val="24"/>
        </w:rPr>
        <w:t xml:space="preserve">para configurar la operación porque los tokens serán, de por sí, valores </w:t>
      </w:r>
      <w:r w:rsidR="0033303F" w:rsidRPr="0080490E">
        <w:rPr>
          <w:rFonts w:asciiTheme="minorHAnsi" w:hAnsiTheme="minorHAnsi" w:cstheme="minorHAnsi"/>
          <w:szCs w:val="24"/>
        </w:rPr>
        <w:t>negociable</w:t>
      </w:r>
      <w:r w:rsidR="00EB384D" w:rsidRPr="0080490E">
        <w:rPr>
          <w:rFonts w:asciiTheme="minorHAnsi" w:hAnsiTheme="minorHAnsi" w:cstheme="minorHAnsi"/>
          <w:szCs w:val="24"/>
        </w:rPr>
        <w:t>s.</w:t>
      </w:r>
    </w:p>
    <w:p w14:paraId="63AEBF24" w14:textId="0CCBE39C" w:rsidR="00EC713E" w:rsidRPr="0080490E" w:rsidRDefault="00EC713E"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Al tratarse de un valor </w:t>
      </w:r>
      <w:r w:rsidR="0033303F" w:rsidRPr="0080490E">
        <w:rPr>
          <w:rFonts w:asciiTheme="minorHAnsi" w:hAnsiTheme="minorHAnsi" w:cstheme="minorHAnsi"/>
          <w:szCs w:val="24"/>
        </w:rPr>
        <w:t>negociable</w:t>
      </w:r>
      <w:r w:rsidRPr="0080490E">
        <w:rPr>
          <w:rFonts w:asciiTheme="minorHAnsi" w:hAnsiTheme="minorHAnsi" w:cstheme="minorHAnsi"/>
          <w:szCs w:val="24"/>
        </w:rPr>
        <w:t>, la emisión del token estará sometida a la obligación de presentar un folleto</w:t>
      </w:r>
      <w:r w:rsidR="00C928F1" w:rsidRPr="0080490E">
        <w:rPr>
          <w:rFonts w:asciiTheme="minorHAnsi" w:hAnsiTheme="minorHAnsi" w:cstheme="minorHAnsi"/>
          <w:szCs w:val="24"/>
        </w:rPr>
        <w:t xml:space="preserve"> (</w:t>
      </w:r>
      <w:r w:rsidR="00430C68" w:rsidRPr="0080490E">
        <w:rPr>
          <w:rFonts w:asciiTheme="minorHAnsi" w:hAnsiTheme="minorHAnsi" w:cstheme="minorHAnsi"/>
          <w:szCs w:val="24"/>
        </w:rPr>
        <w:t xml:space="preserve">art. </w:t>
      </w:r>
      <w:r w:rsidR="00C928F1" w:rsidRPr="0080490E">
        <w:rPr>
          <w:rFonts w:asciiTheme="minorHAnsi" w:hAnsiTheme="minorHAnsi" w:cstheme="minorHAnsi"/>
          <w:szCs w:val="24"/>
        </w:rPr>
        <w:t>35 LMVSI)</w:t>
      </w:r>
      <w:r w:rsidRPr="0080490E">
        <w:rPr>
          <w:rFonts w:asciiTheme="minorHAnsi" w:hAnsiTheme="minorHAnsi" w:cstheme="minorHAnsi"/>
          <w:szCs w:val="24"/>
        </w:rPr>
        <w:t xml:space="preserve">. </w:t>
      </w:r>
      <w:r w:rsidR="00C928F1" w:rsidRPr="0080490E">
        <w:rPr>
          <w:rFonts w:asciiTheme="minorHAnsi" w:hAnsiTheme="minorHAnsi" w:cstheme="minorHAnsi"/>
          <w:szCs w:val="24"/>
        </w:rPr>
        <w:t>Sin embargo, las necesidades de financiación</w:t>
      </w:r>
      <w:r w:rsidR="003340A8" w:rsidRPr="0080490E">
        <w:rPr>
          <w:rFonts w:asciiTheme="minorHAnsi" w:hAnsiTheme="minorHAnsi" w:cstheme="minorHAnsi"/>
          <w:szCs w:val="24"/>
        </w:rPr>
        <w:t xml:space="preserve"> tokenizada</w:t>
      </w:r>
      <w:r w:rsidR="00C928F1" w:rsidRPr="0080490E">
        <w:rPr>
          <w:rFonts w:asciiTheme="minorHAnsi" w:hAnsiTheme="minorHAnsi" w:cstheme="minorHAnsi"/>
          <w:szCs w:val="24"/>
        </w:rPr>
        <w:t>, en muchos casos, no alcanzarán el mínimo legal. Por ello, la presentación del folleto será sustituida por la intervención de una entidad autorizada para prestar servicios de inversión</w:t>
      </w:r>
      <w:r w:rsidR="006C5406" w:rsidRPr="0080490E">
        <w:rPr>
          <w:rFonts w:asciiTheme="minorHAnsi" w:hAnsiTheme="minorHAnsi" w:cstheme="minorHAnsi"/>
          <w:szCs w:val="24"/>
        </w:rPr>
        <w:t xml:space="preserve"> que </w:t>
      </w:r>
      <w:r w:rsidR="00C928F1" w:rsidRPr="0080490E">
        <w:rPr>
          <w:rFonts w:asciiTheme="minorHAnsi" w:hAnsiTheme="minorHAnsi" w:cstheme="minorHAnsi"/>
          <w:szCs w:val="24"/>
        </w:rPr>
        <w:t xml:space="preserve">deberá validar la información </w:t>
      </w:r>
      <w:r w:rsidR="006C5406" w:rsidRPr="0080490E">
        <w:rPr>
          <w:rFonts w:asciiTheme="minorHAnsi" w:hAnsiTheme="minorHAnsi" w:cstheme="minorHAnsi"/>
          <w:szCs w:val="24"/>
        </w:rPr>
        <w:t>d</w:t>
      </w:r>
      <w:r w:rsidR="00C928F1" w:rsidRPr="0080490E">
        <w:rPr>
          <w:rFonts w:asciiTheme="minorHAnsi" w:hAnsiTheme="minorHAnsi" w:cstheme="minorHAnsi"/>
          <w:szCs w:val="24"/>
        </w:rPr>
        <w:t xml:space="preserve">el </w:t>
      </w:r>
      <w:proofErr w:type="spellStart"/>
      <w:r w:rsidR="00C928F1" w:rsidRPr="0080490E">
        <w:rPr>
          <w:rFonts w:asciiTheme="minorHAnsi" w:hAnsiTheme="minorHAnsi" w:cstheme="minorHAnsi"/>
          <w:i/>
          <w:iCs/>
          <w:szCs w:val="24"/>
        </w:rPr>
        <w:t>whitepaper</w:t>
      </w:r>
      <w:proofErr w:type="spellEnd"/>
      <w:r w:rsidR="00C928F1" w:rsidRPr="0080490E">
        <w:rPr>
          <w:rFonts w:asciiTheme="minorHAnsi" w:hAnsiTheme="minorHAnsi" w:cstheme="minorHAnsi"/>
          <w:szCs w:val="24"/>
        </w:rPr>
        <w:t xml:space="preserve"> y supervisar el proceso de comercialización (</w:t>
      </w:r>
      <w:r w:rsidR="00430C68" w:rsidRPr="0080490E">
        <w:rPr>
          <w:rFonts w:asciiTheme="minorHAnsi" w:hAnsiTheme="minorHAnsi" w:cstheme="minorHAnsi"/>
          <w:szCs w:val="24"/>
        </w:rPr>
        <w:t xml:space="preserve">art. </w:t>
      </w:r>
      <w:r w:rsidR="00C928F1" w:rsidRPr="0080490E">
        <w:rPr>
          <w:rFonts w:asciiTheme="minorHAnsi" w:hAnsiTheme="minorHAnsi" w:cstheme="minorHAnsi"/>
          <w:szCs w:val="24"/>
        </w:rPr>
        <w:t>36</w:t>
      </w:r>
      <w:r w:rsidR="00300CC2" w:rsidRPr="0080490E">
        <w:rPr>
          <w:rFonts w:asciiTheme="minorHAnsi" w:hAnsiTheme="minorHAnsi" w:cstheme="minorHAnsi"/>
          <w:szCs w:val="24"/>
        </w:rPr>
        <w:t>.1</w:t>
      </w:r>
      <w:r w:rsidR="00C928F1" w:rsidRPr="0080490E">
        <w:rPr>
          <w:rFonts w:asciiTheme="minorHAnsi" w:hAnsiTheme="minorHAnsi" w:cstheme="minorHAnsi"/>
          <w:szCs w:val="24"/>
        </w:rPr>
        <w:t xml:space="preserve"> LMVSI).</w:t>
      </w:r>
    </w:p>
    <w:p w14:paraId="260CC7D0" w14:textId="3E8BAD21" w:rsidR="001E4C16" w:rsidRPr="0080490E" w:rsidRDefault="006D4DD2"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Por otro lado,</w:t>
      </w:r>
      <w:r w:rsidR="001E4C16" w:rsidRPr="0080490E">
        <w:rPr>
          <w:rFonts w:asciiTheme="minorHAnsi" w:hAnsiTheme="minorHAnsi" w:cstheme="minorHAnsi"/>
          <w:szCs w:val="24"/>
        </w:rPr>
        <w:t xml:space="preserve"> </w:t>
      </w:r>
      <w:r w:rsidR="00924643" w:rsidRPr="0080490E">
        <w:rPr>
          <w:rFonts w:asciiTheme="minorHAnsi" w:hAnsiTheme="minorHAnsi" w:cstheme="minorHAnsi"/>
          <w:szCs w:val="24"/>
        </w:rPr>
        <w:t xml:space="preserve">el reconocimiento legal de los </w:t>
      </w:r>
      <w:proofErr w:type="spellStart"/>
      <w:r w:rsidR="00924643" w:rsidRPr="0080490E">
        <w:rPr>
          <w:rFonts w:asciiTheme="minorHAnsi" w:hAnsiTheme="minorHAnsi" w:cstheme="minorHAnsi"/>
          <w:i/>
          <w:iCs/>
          <w:szCs w:val="24"/>
        </w:rPr>
        <w:t>security</w:t>
      </w:r>
      <w:proofErr w:type="spellEnd"/>
      <w:r w:rsidR="00924643" w:rsidRPr="0080490E">
        <w:rPr>
          <w:rFonts w:asciiTheme="minorHAnsi" w:hAnsiTheme="minorHAnsi" w:cstheme="minorHAnsi"/>
          <w:i/>
          <w:iCs/>
          <w:szCs w:val="24"/>
        </w:rPr>
        <w:t xml:space="preserve"> tokens</w:t>
      </w:r>
      <w:r w:rsidR="00924643" w:rsidRPr="0080490E">
        <w:rPr>
          <w:rFonts w:asciiTheme="minorHAnsi" w:hAnsiTheme="minorHAnsi" w:cstheme="minorHAnsi"/>
          <w:szCs w:val="24"/>
        </w:rPr>
        <w:t xml:space="preserve"> como valor</w:t>
      </w:r>
      <w:r w:rsidR="00D009F3" w:rsidRPr="0080490E">
        <w:rPr>
          <w:rFonts w:asciiTheme="minorHAnsi" w:hAnsiTheme="minorHAnsi" w:cstheme="minorHAnsi"/>
          <w:szCs w:val="24"/>
        </w:rPr>
        <w:t>es</w:t>
      </w:r>
      <w:r w:rsidR="00924643" w:rsidRPr="0080490E">
        <w:rPr>
          <w:rFonts w:asciiTheme="minorHAnsi" w:hAnsiTheme="minorHAnsi" w:cstheme="minorHAnsi"/>
          <w:szCs w:val="24"/>
        </w:rPr>
        <w:t xml:space="preserve"> negociable</w:t>
      </w:r>
      <w:r w:rsidR="00D009F3" w:rsidRPr="0080490E">
        <w:rPr>
          <w:rFonts w:asciiTheme="minorHAnsi" w:hAnsiTheme="minorHAnsi" w:cstheme="minorHAnsi"/>
          <w:szCs w:val="24"/>
        </w:rPr>
        <w:t>s</w:t>
      </w:r>
      <w:r w:rsidR="00924643" w:rsidRPr="0080490E">
        <w:rPr>
          <w:rFonts w:asciiTheme="minorHAnsi" w:hAnsiTheme="minorHAnsi" w:cstheme="minorHAnsi"/>
          <w:szCs w:val="24"/>
        </w:rPr>
        <w:t xml:space="preserve"> autónomo</w:t>
      </w:r>
      <w:r w:rsidR="00D009F3" w:rsidRPr="0080490E">
        <w:rPr>
          <w:rFonts w:asciiTheme="minorHAnsi" w:hAnsiTheme="minorHAnsi" w:cstheme="minorHAnsi"/>
          <w:szCs w:val="24"/>
        </w:rPr>
        <w:t>s</w:t>
      </w:r>
      <w:r w:rsidR="00924643" w:rsidRPr="0080490E">
        <w:rPr>
          <w:rFonts w:asciiTheme="minorHAnsi" w:hAnsiTheme="minorHAnsi" w:cstheme="minorHAnsi"/>
          <w:szCs w:val="24"/>
        </w:rPr>
        <w:t xml:space="preserve"> permite el desarrollo de un mercado secundario de valores tokenizados </w:t>
      </w:r>
      <w:r w:rsidR="00563DD1" w:rsidRPr="0080490E">
        <w:rPr>
          <w:rFonts w:asciiTheme="minorHAnsi" w:hAnsiTheme="minorHAnsi" w:cstheme="minorHAnsi"/>
          <w:szCs w:val="24"/>
        </w:rPr>
        <w:t>con el que facilitar la liquidez de las operaciones</w:t>
      </w:r>
      <w:r w:rsidR="001E4C16" w:rsidRPr="0080490E">
        <w:rPr>
          <w:rStyle w:val="Refdenotaalpie"/>
          <w:rFonts w:asciiTheme="minorHAnsi" w:hAnsiTheme="minorHAnsi" w:cstheme="minorHAnsi"/>
          <w:szCs w:val="24"/>
        </w:rPr>
        <w:footnoteReference w:id="89"/>
      </w:r>
      <w:r w:rsidR="001E4C16" w:rsidRPr="0080490E">
        <w:rPr>
          <w:rFonts w:asciiTheme="minorHAnsi" w:hAnsiTheme="minorHAnsi" w:cstheme="minorHAnsi"/>
          <w:szCs w:val="24"/>
        </w:rPr>
        <w:t xml:space="preserve">. </w:t>
      </w:r>
      <w:r w:rsidR="00924643" w:rsidRPr="0080490E">
        <w:rPr>
          <w:rFonts w:asciiTheme="minorHAnsi" w:hAnsiTheme="minorHAnsi" w:cstheme="minorHAnsi"/>
          <w:szCs w:val="24"/>
        </w:rPr>
        <w:t xml:space="preserve">De este modo se simplifica la transmisibilidad del token que gozará de efectos </w:t>
      </w:r>
      <w:r w:rsidR="00924643" w:rsidRPr="0080490E">
        <w:rPr>
          <w:rFonts w:asciiTheme="minorHAnsi" w:hAnsiTheme="minorHAnsi" w:cstheme="minorHAnsi"/>
          <w:i/>
          <w:iCs/>
          <w:szCs w:val="24"/>
        </w:rPr>
        <w:t>erga omnes</w:t>
      </w:r>
      <w:r w:rsidR="00924643" w:rsidRPr="0080490E">
        <w:rPr>
          <w:rFonts w:asciiTheme="minorHAnsi" w:hAnsiTheme="minorHAnsi" w:cstheme="minorHAnsi"/>
          <w:szCs w:val="24"/>
        </w:rPr>
        <w:t xml:space="preserve"> a partir de su reflejo en el registro distribuido sin que sea precisa una cesión de contrato.</w:t>
      </w:r>
    </w:p>
    <w:p w14:paraId="2CBEFADA" w14:textId="0537C27C" w:rsidR="002D6058" w:rsidRPr="0080490E" w:rsidRDefault="00580B20"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Sin embargo, </w:t>
      </w:r>
      <w:r w:rsidR="002D6058" w:rsidRPr="0080490E">
        <w:rPr>
          <w:rFonts w:asciiTheme="minorHAnsi" w:hAnsiTheme="minorHAnsi" w:cstheme="minorHAnsi"/>
          <w:szCs w:val="24"/>
        </w:rPr>
        <w:t xml:space="preserve">la legislación pone </w:t>
      </w:r>
      <w:r w:rsidR="008E4382" w:rsidRPr="0080490E">
        <w:rPr>
          <w:rFonts w:asciiTheme="minorHAnsi" w:hAnsiTheme="minorHAnsi" w:cstheme="minorHAnsi"/>
          <w:szCs w:val="24"/>
        </w:rPr>
        <w:t xml:space="preserve">ciertas </w:t>
      </w:r>
      <w:r w:rsidR="002D6058" w:rsidRPr="0080490E">
        <w:rPr>
          <w:rFonts w:asciiTheme="minorHAnsi" w:hAnsiTheme="minorHAnsi" w:cstheme="minorHAnsi"/>
          <w:szCs w:val="24"/>
        </w:rPr>
        <w:t xml:space="preserve">trabas </w:t>
      </w:r>
      <w:r w:rsidR="00E431DE" w:rsidRPr="0080490E">
        <w:rPr>
          <w:rFonts w:asciiTheme="minorHAnsi" w:hAnsiTheme="minorHAnsi" w:cstheme="minorHAnsi"/>
          <w:szCs w:val="24"/>
        </w:rPr>
        <w:t xml:space="preserve">o dificultades </w:t>
      </w:r>
      <w:r w:rsidR="002D6058" w:rsidRPr="0080490E">
        <w:rPr>
          <w:rFonts w:asciiTheme="minorHAnsi" w:hAnsiTheme="minorHAnsi" w:cstheme="minorHAnsi"/>
          <w:szCs w:val="24"/>
        </w:rPr>
        <w:t xml:space="preserve">a la tokenización al imponer obligaciones a la tecnología de registro distribuido </w:t>
      </w:r>
      <w:r w:rsidR="00CD6822" w:rsidRPr="0080490E">
        <w:rPr>
          <w:rFonts w:asciiTheme="minorHAnsi" w:hAnsiTheme="minorHAnsi" w:cstheme="minorHAnsi"/>
          <w:szCs w:val="24"/>
        </w:rPr>
        <w:t xml:space="preserve">en la </w:t>
      </w:r>
      <w:r w:rsidR="002D6058" w:rsidRPr="0080490E">
        <w:rPr>
          <w:rFonts w:asciiTheme="minorHAnsi" w:hAnsiTheme="minorHAnsi" w:cstheme="minorHAnsi"/>
          <w:szCs w:val="24"/>
        </w:rPr>
        <w:t xml:space="preserve">que </w:t>
      </w:r>
      <w:r w:rsidR="00CD6822" w:rsidRPr="0080490E">
        <w:rPr>
          <w:rFonts w:asciiTheme="minorHAnsi" w:hAnsiTheme="minorHAnsi" w:cstheme="minorHAnsi"/>
          <w:szCs w:val="24"/>
        </w:rPr>
        <w:t xml:space="preserve">se </w:t>
      </w:r>
      <w:r w:rsidR="002D6058" w:rsidRPr="0080490E">
        <w:rPr>
          <w:rFonts w:asciiTheme="minorHAnsi" w:hAnsiTheme="minorHAnsi" w:cstheme="minorHAnsi"/>
          <w:szCs w:val="24"/>
        </w:rPr>
        <w:t>representa</w:t>
      </w:r>
      <w:r w:rsidR="00CD6822" w:rsidRPr="0080490E">
        <w:rPr>
          <w:rFonts w:asciiTheme="minorHAnsi" w:hAnsiTheme="minorHAnsi" w:cstheme="minorHAnsi"/>
          <w:szCs w:val="24"/>
        </w:rPr>
        <w:t>n</w:t>
      </w:r>
      <w:r w:rsidR="002D6058" w:rsidRPr="0080490E">
        <w:rPr>
          <w:rFonts w:asciiTheme="minorHAnsi" w:hAnsiTheme="minorHAnsi" w:cstheme="minorHAnsi"/>
          <w:szCs w:val="24"/>
        </w:rPr>
        <w:t xml:space="preserve"> los valores</w:t>
      </w:r>
      <w:r w:rsidR="00545E9F" w:rsidRPr="0080490E">
        <w:rPr>
          <w:rStyle w:val="Refdenotaalpie"/>
          <w:rFonts w:asciiTheme="minorHAnsi" w:hAnsiTheme="minorHAnsi" w:cstheme="minorHAnsi"/>
          <w:szCs w:val="24"/>
        </w:rPr>
        <w:footnoteReference w:id="90"/>
      </w:r>
      <w:r w:rsidR="002D6058" w:rsidRPr="0080490E">
        <w:rPr>
          <w:rFonts w:asciiTheme="minorHAnsi" w:hAnsiTheme="minorHAnsi" w:cstheme="minorHAnsi"/>
          <w:szCs w:val="24"/>
        </w:rPr>
        <w:t>. Los sistemas que se utilicen deberán contar con los mecanismos necesarios para realizar la inscripción de cualesquiera actos y negocios jurídicos</w:t>
      </w:r>
      <w:r w:rsidR="00906E0A" w:rsidRPr="0080490E">
        <w:rPr>
          <w:rFonts w:asciiTheme="minorHAnsi" w:hAnsiTheme="minorHAnsi" w:cstheme="minorHAnsi"/>
          <w:szCs w:val="24"/>
        </w:rPr>
        <w:t xml:space="preserve"> que afecten al token</w:t>
      </w:r>
      <w:r w:rsidR="002D6058" w:rsidRPr="0080490E">
        <w:rPr>
          <w:rFonts w:asciiTheme="minorHAnsi" w:hAnsiTheme="minorHAnsi" w:cstheme="minorHAnsi"/>
          <w:szCs w:val="24"/>
        </w:rPr>
        <w:t xml:space="preserve">, incluyendo, entre otros, embargos, ejecuciones judiciales, transmisiones </w:t>
      </w:r>
      <w:r w:rsidR="002D6058" w:rsidRPr="0080490E">
        <w:rPr>
          <w:rFonts w:asciiTheme="minorHAnsi" w:hAnsiTheme="minorHAnsi" w:cstheme="minorHAnsi"/>
          <w:i/>
          <w:iCs/>
          <w:szCs w:val="24"/>
        </w:rPr>
        <w:t>mortis causa</w:t>
      </w:r>
      <w:r w:rsidR="002D6058" w:rsidRPr="0080490E">
        <w:rPr>
          <w:rFonts w:asciiTheme="minorHAnsi" w:hAnsiTheme="minorHAnsi" w:cstheme="minorHAnsi"/>
          <w:szCs w:val="24"/>
        </w:rPr>
        <w:t xml:space="preserve"> y la constitución de derechos reales limitados y otros gravámenes sobre ellos. De ahí que las cadenas de bloques tradicionales </w:t>
      </w:r>
      <w:r w:rsidR="004A52C8" w:rsidRPr="0080490E">
        <w:rPr>
          <w:rFonts w:asciiTheme="minorHAnsi" w:hAnsiTheme="minorHAnsi" w:cstheme="minorHAnsi"/>
          <w:szCs w:val="24"/>
        </w:rPr>
        <w:t xml:space="preserve">puedan </w:t>
      </w:r>
      <w:r w:rsidR="002D6058" w:rsidRPr="0080490E">
        <w:rPr>
          <w:rFonts w:asciiTheme="minorHAnsi" w:hAnsiTheme="minorHAnsi" w:cstheme="minorHAnsi"/>
          <w:szCs w:val="24"/>
        </w:rPr>
        <w:t xml:space="preserve">no </w:t>
      </w:r>
      <w:r w:rsidR="004A52C8" w:rsidRPr="0080490E">
        <w:rPr>
          <w:rFonts w:asciiTheme="minorHAnsi" w:hAnsiTheme="minorHAnsi" w:cstheme="minorHAnsi"/>
          <w:szCs w:val="24"/>
        </w:rPr>
        <w:t xml:space="preserve">ser </w:t>
      </w:r>
      <w:r w:rsidR="002D6058" w:rsidRPr="0080490E">
        <w:rPr>
          <w:rFonts w:asciiTheme="minorHAnsi" w:hAnsiTheme="minorHAnsi" w:cstheme="minorHAnsi"/>
          <w:szCs w:val="24"/>
        </w:rPr>
        <w:t>aptas</w:t>
      </w:r>
      <w:r w:rsidR="008E4382" w:rsidRPr="0080490E">
        <w:rPr>
          <w:rFonts w:asciiTheme="minorHAnsi" w:hAnsiTheme="minorHAnsi" w:cstheme="minorHAnsi"/>
          <w:szCs w:val="24"/>
        </w:rPr>
        <w:t xml:space="preserve"> para este cometido</w:t>
      </w:r>
      <w:r w:rsidR="002D6058" w:rsidRPr="0080490E">
        <w:rPr>
          <w:rFonts w:asciiTheme="minorHAnsi" w:hAnsiTheme="minorHAnsi" w:cstheme="minorHAnsi"/>
          <w:szCs w:val="24"/>
        </w:rPr>
        <w:t xml:space="preserve"> y </w:t>
      </w:r>
      <w:r w:rsidR="002722E4" w:rsidRPr="0080490E">
        <w:rPr>
          <w:rFonts w:asciiTheme="minorHAnsi" w:hAnsiTheme="minorHAnsi" w:cstheme="minorHAnsi"/>
          <w:szCs w:val="24"/>
        </w:rPr>
        <w:t>sea</w:t>
      </w:r>
      <w:r w:rsidR="002D6058" w:rsidRPr="0080490E">
        <w:rPr>
          <w:rFonts w:asciiTheme="minorHAnsi" w:hAnsiTheme="minorHAnsi" w:cstheme="minorHAnsi"/>
          <w:szCs w:val="24"/>
        </w:rPr>
        <w:t xml:space="preserve"> preciso </w:t>
      </w:r>
      <w:r w:rsidR="00E2390F" w:rsidRPr="0080490E">
        <w:rPr>
          <w:rFonts w:asciiTheme="minorHAnsi" w:hAnsiTheme="minorHAnsi" w:cstheme="minorHAnsi"/>
          <w:szCs w:val="24"/>
        </w:rPr>
        <w:t>emplear</w:t>
      </w:r>
      <w:r w:rsidR="002D6058" w:rsidRPr="0080490E">
        <w:rPr>
          <w:rFonts w:asciiTheme="minorHAnsi" w:hAnsiTheme="minorHAnsi" w:cstheme="minorHAnsi"/>
          <w:szCs w:val="24"/>
        </w:rPr>
        <w:t xml:space="preserve"> una cadena de bloques </w:t>
      </w:r>
      <w:r w:rsidR="002D6058" w:rsidRPr="0080490E">
        <w:rPr>
          <w:rFonts w:asciiTheme="minorHAnsi" w:hAnsiTheme="minorHAnsi" w:cstheme="minorHAnsi"/>
          <w:i/>
          <w:iCs/>
          <w:szCs w:val="24"/>
        </w:rPr>
        <w:t>ad hoc</w:t>
      </w:r>
      <w:r w:rsidR="00D84F79" w:rsidRPr="0080490E">
        <w:rPr>
          <w:rFonts w:asciiTheme="minorHAnsi" w:hAnsiTheme="minorHAnsi" w:cstheme="minorHAnsi"/>
          <w:szCs w:val="24"/>
        </w:rPr>
        <w:t xml:space="preserve"> de carácter permisionado o privado</w:t>
      </w:r>
      <w:r w:rsidR="00D4308A" w:rsidRPr="0080490E">
        <w:rPr>
          <w:rStyle w:val="Refdenotaalpie"/>
          <w:rFonts w:asciiTheme="minorHAnsi" w:hAnsiTheme="minorHAnsi" w:cstheme="minorHAnsi"/>
          <w:szCs w:val="24"/>
        </w:rPr>
        <w:footnoteReference w:id="91"/>
      </w:r>
      <w:r w:rsidR="002D6058" w:rsidRPr="0080490E">
        <w:rPr>
          <w:rFonts w:asciiTheme="minorHAnsi" w:hAnsiTheme="minorHAnsi" w:cstheme="minorHAnsi"/>
          <w:szCs w:val="24"/>
        </w:rPr>
        <w:t>.</w:t>
      </w:r>
      <w:r w:rsidR="00C62E68" w:rsidRPr="0080490E">
        <w:rPr>
          <w:rFonts w:asciiTheme="minorHAnsi" w:hAnsiTheme="minorHAnsi" w:cstheme="minorHAnsi"/>
          <w:szCs w:val="24"/>
        </w:rPr>
        <w:t xml:space="preserve"> </w:t>
      </w:r>
      <w:r w:rsidR="00310B89" w:rsidRPr="0080490E">
        <w:rPr>
          <w:rFonts w:asciiTheme="minorHAnsi" w:hAnsiTheme="minorHAnsi" w:cstheme="minorHAnsi"/>
          <w:szCs w:val="24"/>
        </w:rPr>
        <w:t>Aunque esta tecnología</w:t>
      </w:r>
      <w:r w:rsidR="001E535F" w:rsidRPr="0080490E">
        <w:rPr>
          <w:rFonts w:asciiTheme="minorHAnsi" w:hAnsiTheme="minorHAnsi" w:cstheme="minorHAnsi"/>
          <w:szCs w:val="24"/>
        </w:rPr>
        <w:t xml:space="preserve"> ofrece</w:t>
      </w:r>
      <w:r w:rsidR="00310B89" w:rsidRPr="0080490E">
        <w:rPr>
          <w:rFonts w:asciiTheme="minorHAnsi" w:hAnsiTheme="minorHAnsi" w:cstheme="minorHAnsi"/>
          <w:szCs w:val="24"/>
        </w:rPr>
        <w:t>, por sí misma, seguridad e inmutabilidad a la tenencia y transmisión de los valores tokenizados sin necesidad de un supervisor externo, el legislador exige la colaboración de una entidad</w:t>
      </w:r>
      <w:r w:rsidR="00A2748F" w:rsidRPr="0080490E">
        <w:rPr>
          <w:rFonts w:asciiTheme="minorHAnsi" w:hAnsiTheme="minorHAnsi" w:cstheme="minorHAnsi"/>
          <w:szCs w:val="24"/>
        </w:rPr>
        <w:t xml:space="preserve"> </w:t>
      </w:r>
      <w:r w:rsidR="00310B89" w:rsidRPr="0080490E">
        <w:rPr>
          <w:rFonts w:asciiTheme="minorHAnsi" w:hAnsiTheme="minorHAnsi" w:cstheme="minorHAnsi"/>
          <w:szCs w:val="24"/>
        </w:rPr>
        <w:t xml:space="preserve">que será responsable de la administración de la inscripción y registro de los valores. </w:t>
      </w:r>
      <w:r w:rsidR="00D91D72" w:rsidRPr="0080490E">
        <w:rPr>
          <w:rFonts w:asciiTheme="minorHAnsi" w:hAnsiTheme="minorHAnsi" w:cstheme="minorHAnsi"/>
          <w:szCs w:val="24"/>
        </w:rPr>
        <w:t xml:space="preserve">Esta entidad resulta fundamental, especialmente, </w:t>
      </w:r>
      <w:r w:rsidR="00D91D72" w:rsidRPr="0080490E">
        <w:rPr>
          <w:rFonts w:asciiTheme="minorHAnsi" w:hAnsiTheme="minorHAnsi" w:cstheme="minorHAnsi"/>
          <w:szCs w:val="24"/>
        </w:rPr>
        <w:lastRenderedPageBreak/>
        <w:t xml:space="preserve">cuando los </w:t>
      </w:r>
      <w:proofErr w:type="spellStart"/>
      <w:r w:rsidR="00D91D72" w:rsidRPr="0080490E">
        <w:rPr>
          <w:rFonts w:asciiTheme="minorHAnsi" w:hAnsiTheme="minorHAnsi" w:cstheme="minorHAnsi"/>
          <w:i/>
          <w:iCs/>
          <w:szCs w:val="24"/>
        </w:rPr>
        <w:t>security</w:t>
      </w:r>
      <w:proofErr w:type="spellEnd"/>
      <w:r w:rsidR="00D91D72" w:rsidRPr="0080490E">
        <w:rPr>
          <w:rFonts w:asciiTheme="minorHAnsi" w:hAnsiTheme="minorHAnsi" w:cstheme="minorHAnsi"/>
          <w:i/>
          <w:iCs/>
          <w:szCs w:val="24"/>
        </w:rPr>
        <w:t xml:space="preserve"> tokens</w:t>
      </w:r>
      <w:r w:rsidR="00D91D72" w:rsidRPr="0080490E">
        <w:rPr>
          <w:rFonts w:asciiTheme="minorHAnsi" w:hAnsiTheme="minorHAnsi" w:cstheme="minorHAnsi"/>
          <w:szCs w:val="24"/>
        </w:rPr>
        <w:t xml:space="preserve"> no vayan a cotizar en mercados regulados pues, </w:t>
      </w:r>
      <w:r w:rsidR="00D009F3" w:rsidRPr="0080490E">
        <w:rPr>
          <w:rFonts w:asciiTheme="minorHAnsi" w:hAnsiTheme="minorHAnsi" w:cstheme="minorHAnsi"/>
          <w:szCs w:val="24"/>
        </w:rPr>
        <w:t xml:space="preserve">en estos casos, asumirán, entre otras funciones, </w:t>
      </w:r>
      <w:r w:rsidR="00A2748F" w:rsidRPr="0080490E">
        <w:rPr>
          <w:rFonts w:asciiTheme="minorHAnsi" w:hAnsiTheme="minorHAnsi" w:cstheme="minorHAnsi"/>
          <w:szCs w:val="24"/>
        </w:rPr>
        <w:t xml:space="preserve">la identificación de los titulares de los derechos derivados de los valores negociables, </w:t>
      </w:r>
      <w:r w:rsidR="00FA1555" w:rsidRPr="0080490E">
        <w:rPr>
          <w:rFonts w:asciiTheme="minorHAnsi" w:hAnsiTheme="minorHAnsi" w:cstheme="minorHAnsi"/>
          <w:szCs w:val="24"/>
        </w:rPr>
        <w:t xml:space="preserve">la expedición de certificados de legitimación, </w:t>
      </w:r>
      <w:r w:rsidR="00A2748F" w:rsidRPr="0080490E">
        <w:rPr>
          <w:rFonts w:asciiTheme="minorHAnsi" w:hAnsiTheme="minorHAnsi" w:cstheme="minorHAnsi"/>
          <w:szCs w:val="24"/>
        </w:rPr>
        <w:t>así como de los distintos eventos corporativos, inscripciones o gravámenes que afecten a la emisión</w:t>
      </w:r>
      <w:r w:rsidR="00DC7FA5" w:rsidRPr="0080490E">
        <w:rPr>
          <w:rStyle w:val="Refdenotaalpie"/>
          <w:rFonts w:asciiTheme="minorHAnsi" w:hAnsiTheme="minorHAnsi" w:cstheme="minorHAnsi"/>
          <w:szCs w:val="24"/>
        </w:rPr>
        <w:footnoteReference w:id="92"/>
      </w:r>
      <w:r w:rsidR="00DC7FA5" w:rsidRPr="0080490E">
        <w:rPr>
          <w:rFonts w:asciiTheme="minorHAnsi" w:hAnsiTheme="minorHAnsi" w:cstheme="minorHAnsi"/>
          <w:szCs w:val="24"/>
        </w:rPr>
        <w:t>.</w:t>
      </w:r>
    </w:p>
    <w:p w14:paraId="594438D5" w14:textId="472CB137" w:rsidR="007A2471" w:rsidRPr="0080490E" w:rsidRDefault="002D6058"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 xml:space="preserve">Por otro lado, </w:t>
      </w:r>
      <w:r w:rsidR="00580B20" w:rsidRPr="0080490E">
        <w:rPr>
          <w:rFonts w:asciiTheme="minorHAnsi" w:hAnsiTheme="minorHAnsi" w:cstheme="minorHAnsi"/>
          <w:szCs w:val="24"/>
        </w:rPr>
        <w:t>la consideración de la nueva Ley reguladora del mercado de valores como Ley marco determina su necesario desarrollo reglamentario</w:t>
      </w:r>
      <w:r w:rsidR="00C62E68" w:rsidRPr="0080490E">
        <w:rPr>
          <w:rStyle w:val="Refdenotaalpie"/>
          <w:rFonts w:asciiTheme="minorHAnsi" w:hAnsiTheme="minorHAnsi" w:cstheme="minorHAnsi"/>
          <w:szCs w:val="24"/>
        </w:rPr>
        <w:footnoteReference w:id="93"/>
      </w:r>
      <w:r w:rsidR="00580B20" w:rsidRPr="0080490E">
        <w:rPr>
          <w:rFonts w:asciiTheme="minorHAnsi" w:hAnsiTheme="minorHAnsi" w:cstheme="minorHAnsi"/>
          <w:szCs w:val="24"/>
        </w:rPr>
        <w:t xml:space="preserve">. </w:t>
      </w:r>
      <w:r w:rsidR="003B3721" w:rsidRPr="0080490E">
        <w:rPr>
          <w:rFonts w:asciiTheme="minorHAnsi" w:hAnsiTheme="minorHAnsi" w:cstheme="minorHAnsi"/>
          <w:szCs w:val="24"/>
        </w:rPr>
        <w:t xml:space="preserve">Ahora bien, la novedad legislativa se relaciona con la representación, legitimación y transmisión de los valores </w:t>
      </w:r>
      <w:r w:rsidR="0033303F" w:rsidRPr="0080490E">
        <w:rPr>
          <w:rFonts w:asciiTheme="minorHAnsi" w:hAnsiTheme="minorHAnsi" w:cstheme="minorHAnsi"/>
          <w:szCs w:val="24"/>
        </w:rPr>
        <w:t>negociable</w:t>
      </w:r>
      <w:r w:rsidR="003B3721" w:rsidRPr="0080490E">
        <w:rPr>
          <w:rFonts w:asciiTheme="minorHAnsi" w:hAnsiTheme="minorHAnsi" w:cstheme="minorHAnsi"/>
          <w:szCs w:val="24"/>
        </w:rPr>
        <w:t xml:space="preserve">s, pero no amplía su tipología o contenido. De ahí que la inversión tokenizada tenga que sustentarse sobre alguno de los valores </w:t>
      </w:r>
      <w:r w:rsidR="0033303F" w:rsidRPr="0080490E">
        <w:rPr>
          <w:rFonts w:asciiTheme="minorHAnsi" w:hAnsiTheme="minorHAnsi" w:cstheme="minorHAnsi"/>
          <w:szCs w:val="24"/>
        </w:rPr>
        <w:t>negociable</w:t>
      </w:r>
      <w:r w:rsidR="003B3721" w:rsidRPr="0080490E">
        <w:rPr>
          <w:rFonts w:asciiTheme="minorHAnsi" w:hAnsiTheme="minorHAnsi" w:cstheme="minorHAnsi"/>
          <w:szCs w:val="24"/>
        </w:rPr>
        <w:t xml:space="preserve">s tradicionales, si bien, ahora </w:t>
      </w:r>
      <w:r w:rsidR="00C62E68" w:rsidRPr="0080490E">
        <w:rPr>
          <w:rFonts w:asciiTheme="minorHAnsi" w:hAnsiTheme="minorHAnsi" w:cstheme="minorHAnsi"/>
          <w:szCs w:val="24"/>
        </w:rPr>
        <w:t>representados en sistemas de registro distribuido</w:t>
      </w:r>
      <w:r w:rsidR="003B3721" w:rsidRPr="0080490E">
        <w:rPr>
          <w:rFonts w:asciiTheme="minorHAnsi" w:hAnsiTheme="minorHAnsi" w:cstheme="minorHAnsi"/>
          <w:szCs w:val="24"/>
        </w:rPr>
        <w:t xml:space="preserve">. </w:t>
      </w:r>
      <w:r w:rsidR="006A3B77" w:rsidRPr="0080490E">
        <w:rPr>
          <w:rFonts w:asciiTheme="minorHAnsi" w:hAnsiTheme="minorHAnsi" w:cstheme="minorHAnsi"/>
          <w:szCs w:val="24"/>
        </w:rPr>
        <w:t xml:space="preserve">Esta cuestión reviste importancia porque el modelo de negocio expuesto no se asemeja al uso de acciones, bonos, obligaciones, deuda titulizada u otros instrumentos recogidos en el artículo 2 LMVSI </w:t>
      </w:r>
      <w:r w:rsidR="00361D7C" w:rsidRPr="0080490E">
        <w:rPr>
          <w:rFonts w:asciiTheme="minorHAnsi" w:hAnsiTheme="minorHAnsi" w:cstheme="minorHAnsi"/>
          <w:szCs w:val="24"/>
        </w:rPr>
        <w:t xml:space="preserve">por estar vinculada la rentabilidad del token a la productividad de un inmueble concreto y resultar </w:t>
      </w:r>
      <w:r w:rsidR="00F8633E" w:rsidRPr="0080490E">
        <w:rPr>
          <w:rFonts w:asciiTheme="minorHAnsi" w:hAnsiTheme="minorHAnsi" w:cstheme="minorHAnsi"/>
          <w:szCs w:val="24"/>
        </w:rPr>
        <w:t>aleatoria</w:t>
      </w:r>
      <w:r w:rsidR="00361D7C" w:rsidRPr="0080490E">
        <w:rPr>
          <w:rFonts w:asciiTheme="minorHAnsi" w:hAnsiTheme="minorHAnsi" w:cstheme="minorHAnsi"/>
          <w:szCs w:val="24"/>
        </w:rPr>
        <w:t>.</w:t>
      </w:r>
      <w:r w:rsidR="00F8633E" w:rsidRPr="0080490E">
        <w:rPr>
          <w:rFonts w:asciiTheme="minorHAnsi" w:hAnsiTheme="minorHAnsi" w:cstheme="minorHAnsi"/>
          <w:szCs w:val="24"/>
        </w:rPr>
        <w:t xml:space="preserve"> De ahí que </w:t>
      </w:r>
      <w:r w:rsidR="00842ED1" w:rsidRPr="0080490E">
        <w:rPr>
          <w:rFonts w:asciiTheme="minorHAnsi" w:hAnsiTheme="minorHAnsi" w:cstheme="minorHAnsi"/>
          <w:szCs w:val="24"/>
        </w:rPr>
        <w:t>sea</w:t>
      </w:r>
      <w:r w:rsidR="00F8633E" w:rsidRPr="0080490E">
        <w:rPr>
          <w:rFonts w:asciiTheme="minorHAnsi" w:hAnsiTheme="minorHAnsi" w:cstheme="minorHAnsi"/>
          <w:szCs w:val="24"/>
        </w:rPr>
        <w:t xml:space="preserve"> preciso tokenizar un valor </w:t>
      </w:r>
      <w:r w:rsidR="0033303F" w:rsidRPr="0080490E">
        <w:rPr>
          <w:rFonts w:asciiTheme="minorHAnsi" w:hAnsiTheme="minorHAnsi" w:cstheme="minorHAnsi"/>
          <w:szCs w:val="24"/>
        </w:rPr>
        <w:t>negociable</w:t>
      </w:r>
      <w:r w:rsidR="00F8633E" w:rsidRPr="0080490E">
        <w:rPr>
          <w:rFonts w:asciiTheme="minorHAnsi" w:hAnsiTheme="minorHAnsi" w:cstheme="minorHAnsi"/>
          <w:szCs w:val="24"/>
        </w:rPr>
        <w:t xml:space="preserve"> innominado o atípico.</w:t>
      </w:r>
    </w:p>
    <w:p w14:paraId="53078C93" w14:textId="77777777" w:rsidR="00F66D9A" w:rsidRPr="0080490E" w:rsidRDefault="00F66D9A" w:rsidP="0080490E">
      <w:pPr>
        <w:spacing w:after="0" w:line="276" w:lineRule="auto"/>
        <w:ind w:firstLine="0"/>
        <w:rPr>
          <w:rFonts w:asciiTheme="minorHAnsi" w:hAnsiTheme="minorHAnsi" w:cstheme="minorHAnsi"/>
          <w:szCs w:val="24"/>
        </w:rPr>
      </w:pPr>
    </w:p>
    <w:p w14:paraId="4FAAAC84" w14:textId="149A20E3" w:rsidR="006F2945" w:rsidRPr="0080490E" w:rsidRDefault="00C633F3" w:rsidP="0080490E">
      <w:pPr>
        <w:pStyle w:val="Ttulo1"/>
        <w:spacing w:after="0" w:line="276" w:lineRule="auto"/>
        <w:ind w:firstLine="0"/>
        <w:rPr>
          <w:rFonts w:asciiTheme="minorHAnsi" w:hAnsiTheme="minorHAnsi" w:cstheme="minorHAnsi"/>
        </w:rPr>
      </w:pPr>
      <w:r w:rsidRPr="0080490E">
        <w:rPr>
          <w:rFonts w:asciiTheme="minorHAnsi" w:hAnsiTheme="minorHAnsi" w:cstheme="minorHAnsi"/>
        </w:rPr>
        <w:t>7</w:t>
      </w:r>
      <w:r w:rsidR="00562007" w:rsidRPr="0080490E">
        <w:rPr>
          <w:rFonts w:asciiTheme="minorHAnsi" w:hAnsiTheme="minorHAnsi" w:cstheme="minorHAnsi"/>
        </w:rPr>
        <w:t xml:space="preserve">. </w:t>
      </w:r>
      <w:r w:rsidR="006F2945" w:rsidRPr="0080490E">
        <w:rPr>
          <w:rFonts w:asciiTheme="minorHAnsi" w:hAnsiTheme="minorHAnsi" w:cstheme="minorHAnsi"/>
        </w:rPr>
        <w:t>Conclusión</w:t>
      </w:r>
    </w:p>
    <w:p w14:paraId="5D6CADF9" w14:textId="7C8C3C59" w:rsidR="0007194E" w:rsidRPr="0080490E" w:rsidRDefault="004122A8"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La tokenización constituye un</w:t>
      </w:r>
      <w:r w:rsidR="00F6452B" w:rsidRPr="0080490E">
        <w:rPr>
          <w:rFonts w:asciiTheme="minorHAnsi" w:hAnsiTheme="minorHAnsi" w:cstheme="minorHAnsi"/>
          <w:szCs w:val="24"/>
        </w:rPr>
        <w:t xml:space="preserve"> proceso tecnológico que facilita l</w:t>
      </w:r>
      <w:r w:rsidRPr="0080490E">
        <w:rPr>
          <w:rFonts w:asciiTheme="minorHAnsi" w:hAnsiTheme="minorHAnsi" w:cstheme="minorHAnsi"/>
          <w:szCs w:val="24"/>
        </w:rPr>
        <w:t xml:space="preserve">a inversión y </w:t>
      </w:r>
      <w:r w:rsidR="00F6452B" w:rsidRPr="0080490E">
        <w:rPr>
          <w:rFonts w:asciiTheme="minorHAnsi" w:hAnsiTheme="minorHAnsi" w:cstheme="minorHAnsi"/>
          <w:szCs w:val="24"/>
        </w:rPr>
        <w:t xml:space="preserve">supone </w:t>
      </w:r>
      <w:r w:rsidRPr="0080490E">
        <w:rPr>
          <w:rFonts w:asciiTheme="minorHAnsi" w:hAnsiTheme="minorHAnsi" w:cstheme="minorHAnsi"/>
          <w:szCs w:val="24"/>
        </w:rPr>
        <w:t xml:space="preserve">un cauce alternativo de financiación empresarial que puede configurarse legalmente de diversas </w:t>
      </w:r>
      <w:r w:rsidR="00511558" w:rsidRPr="0080490E">
        <w:rPr>
          <w:rFonts w:asciiTheme="minorHAnsi" w:hAnsiTheme="minorHAnsi" w:cstheme="minorHAnsi"/>
          <w:szCs w:val="24"/>
        </w:rPr>
        <w:t>formas</w:t>
      </w:r>
      <w:r w:rsidRPr="0080490E">
        <w:rPr>
          <w:rFonts w:asciiTheme="minorHAnsi" w:hAnsiTheme="minorHAnsi" w:cstheme="minorHAnsi"/>
          <w:szCs w:val="24"/>
        </w:rPr>
        <w:t xml:space="preserve">. </w:t>
      </w:r>
      <w:r w:rsidR="006F2945" w:rsidRPr="0080490E">
        <w:rPr>
          <w:rFonts w:asciiTheme="minorHAnsi" w:hAnsiTheme="minorHAnsi" w:cstheme="minorHAnsi"/>
          <w:szCs w:val="24"/>
        </w:rPr>
        <w:t>E</w:t>
      </w:r>
      <w:r w:rsidRPr="0080490E">
        <w:rPr>
          <w:rFonts w:asciiTheme="minorHAnsi" w:hAnsiTheme="minorHAnsi" w:cstheme="minorHAnsi"/>
          <w:szCs w:val="24"/>
        </w:rPr>
        <w:t>n este trabajo se defiende la autonomía de la voluntad para el diseño de un</w:t>
      </w:r>
      <w:r w:rsidR="006F2945" w:rsidRPr="0080490E">
        <w:rPr>
          <w:rFonts w:asciiTheme="minorHAnsi" w:hAnsiTheme="minorHAnsi" w:cstheme="minorHAnsi"/>
          <w:szCs w:val="24"/>
        </w:rPr>
        <w:t xml:space="preserve"> modelo de </w:t>
      </w:r>
      <w:r w:rsidRPr="0080490E">
        <w:rPr>
          <w:rFonts w:asciiTheme="minorHAnsi" w:hAnsiTheme="minorHAnsi" w:cstheme="minorHAnsi"/>
          <w:szCs w:val="24"/>
        </w:rPr>
        <w:t>tokenización</w:t>
      </w:r>
      <w:r w:rsidR="006F2945" w:rsidRPr="0080490E">
        <w:rPr>
          <w:rFonts w:asciiTheme="minorHAnsi" w:hAnsiTheme="minorHAnsi" w:cstheme="minorHAnsi"/>
          <w:szCs w:val="24"/>
        </w:rPr>
        <w:t xml:space="preserve"> </w:t>
      </w:r>
      <w:r w:rsidR="006F28CF" w:rsidRPr="0080490E">
        <w:rPr>
          <w:rFonts w:asciiTheme="minorHAnsi" w:hAnsiTheme="minorHAnsi" w:cstheme="minorHAnsi"/>
          <w:szCs w:val="24"/>
        </w:rPr>
        <w:t xml:space="preserve">inmobiliaria </w:t>
      </w:r>
      <w:r w:rsidRPr="0080490E">
        <w:rPr>
          <w:rFonts w:asciiTheme="minorHAnsi" w:hAnsiTheme="minorHAnsi" w:cstheme="minorHAnsi"/>
          <w:szCs w:val="24"/>
        </w:rPr>
        <w:t xml:space="preserve">que </w:t>
      </w:r>
      <w:r w:rsidR="006F2945" w:rsidRPr="0080490E">
        <w:rPr>
          <w:rFonts w:asciiTheme="minorHAnsi" w:hAnsiTheme="minorHAnsi" w:cstheme="minorHAnsi"/>
          <w:szCs w:val="24"/>
        </w:rPr>
        <w:t>qued</w:t>
      </w:r>
      <w:r w:rsidRPr="0080490E">
        <w:rPr>
          <w:rFonts w:asciiTheme="minorHAnsi" w:hAnsiTheme="minorHAnsi" w:cstheme="minorHAnsi"/>
          <w:szCs w:val="24"/>
        </w:rPr>
        <w:t>e</w:t>
      </w:r>
      <w:r w:rsidR="006F2945" w:rsidRPr="0080490E">
        <w:rPr>
          <w:rFonts w:asciiTheme="minorHAnsi" w:hAnsiTheme="minorHAnsi" w:cstheme="minorHAnsi"/>
          <w:szCs w:val="24"/>
        </w:rPr>
        <w:t xml:space="preserve"> al margen de la legislación del mercado de valores</w:t>
      </w:r>
      <w:r w:rsidR="00D009F3" w:rsidRPr="0080490E">
        <w:rPr>
          <w:rFonts w:asciiTheme="minorHAnsi" w:hAnsiTheme="minorHAnsi" w:cstheme="minorHAnsi"/>
          <w:szCs w:val="24"/>
        </w:rPr>
        <w:t>. Esto será así</w:t>
      </w:r>
      <w:r w:rsidR="006F2945" w:rsidRPr="0080490E">
        <w:rPr>
          <w:rFonts w:asciiTheme="minorHAnsi" w:hAnsiTheme="minorHAnsi" w:cstheme="minorHAnsi"/>
          <w:szCs w:val="24"/>
        </w:rPr>
        <w:t xml:space="preserve"> </w:t>
      </w:r>
      <w:r w:rsidR="00F6452B" w:rsidRPr="0080490E">
        <w:rPr>
          <w:rFonts w:asciiTheme="minorHAnsi" w:hAnsiTheme="minorHAnsi" w:cstheme="minorHAnsi"/>
          <w:szCs w:val="24"/>
        </w:rPr>
        <w:t>cuando</w:t>
      </w:r>
      <w:r w:rsidR="006F2945" w:rsidRPr="0080490E">
        <w:rPr>
          <w:rFonts w:asciiTheme="minorHAnsi" w:hAnsiTheme="minorHAnsi" w:cstheme="minorHAnsi"/>
          <w:szCs w:val="24"/>
        </w:rPr>
        <w:t xml:space="preserve"> l</w:t>
      </w:r>
      <w:r w:rsidR="00511558" w:rsidRPr="0080490E">
        <w:rPr>
          <w:rFonts w:asciiTheme="minorHAnsi" w:hAnsiTheme="minorHAnsi" w:cstheme="minorHAnsi"/>
          <w:szCs w:val="24"/>
        </w:rPr>
        <w:t>a función representativa del</w:t>
      </w:r>
      <w:r w:rsidR="006F2945" w:rsidRPr="0080490E">
        <w:rPr>
          <w:rFonts w:asciiTheme="minorHAnsi" w:hAnsiTheme="minorHAnsi" w:cstheme="minorHAnsi"/>
          <w:szCs w:val="24"/>
        </w:rPr>
        <w:t xml:space="preserve"> token no </w:t>
      </w:r>
      <w:r w:rsidR="00511558" w:rsidRPr="0080490E">
        <w:rPr>
          <w:rFonts w:asciiTheme="minorHAnsi" w:hAnsiTheme="minorHAnsi" w:cstheme="minorHAnsi"/>
          <w:szCs w:val="24"/>
        </w:rPr>
        <w:t>se refier</w:t>
      </w:r>
      <w:r w:rsidR="00F6452B" w:rsidRPr="0080490E">
        <w:rPr>
          <w:rFonts w:asciiTheme="minorHAnsi" w:hAnsiTheme="minorHAnsi" w:cstheme="minorHAnsi"/>
          <w:szCs w:val="24"/>
        </w:rPr>
        <w:t>a</w:t>
      </w:r>
      <w:r w:rsidR="00511558" w:rsidRPr="0080490E">
        <w:rPr>
          <w:rFonts w:asciiTheme="minorHAnsi" w:hAnsiTheme="minorHAnsi" w:cstheme="minorHAnsi"/>
          <w:szCs w:val="24"/>
        </w:rPr>
        <w:t xml:space="preserve"> a un derecho de crédito vinculado a</w:t>
      </w:r>
      <w:r w:rsidR="006F2945" w:rsidRPr="0080490E">
        <w:rPr>
          <w:rFonts w:asciiTheme="minorHAnsi" w:hAnsiTheme="minorHAnsi" w:cstheme="minorHAnsi"/>
          <w:szCs w:val="24"/>
        </w:rPr>
        <w:t xml:space="preserve"> una inversión sino </w:t>
      </w:r>
      <w:r w:rsidR="00511558" w:rsidRPr="0080490E">
        <w:rPr>
          <w:rFonts w:asciiTheme="minorHAnsi" w:hAnsiTheme="minorHAnsi" w:cstheme="minorHAnsi"/>
          <w:szCs w:val="24"/>
        </w:rPr>
        <w:t xml:space="preserve">a </w:t>
      </w:r>
      <w:r w:rsidR="006F2945" w:rsidRPr="0080490E">
        <w:rPr>
          <w:rFonts w:asciiTheme="minorHAnsi" w:hAnsiTheme="minorHAnsi" w:cstheme="minorHAnsi"/>
          <w:szCs w:val="24"/>
        </w:rPr>
        <w:t xml:space="preserve">la condición de parte en un contrato </w:t>
      </w:r>
      <w:r w:rsidRPr="0080490E">
        <w:rPr>
          <w:rFonts w:asciiTheme="minorHAnsi" w:hAnsiTheme="minorHAnsi" w:cstheme="minorHAnsi"/>
          <w:szCs w:val="24"/>
        </w:rPr>
        <w:t xml:space="preserve">electrónico </w:t>
      </w:r>
      <w:r w:rsidR="006F2945" w:rsidRPr="0080490E">
        <w:rPr>
          <w:rFonts w:asciiTheme="minorHAnsi" w:hAnsiTheme="minorHAnsi" w:cstheme="minorHAnsi"/>
          <w:szCs w:val="24"/>
        </w:rPr>
        <w:t>bilateral</w:t>
      </w:r>
      <w:r w:rsidR="00511558" w:rsidRPr="0080490E">
        <w:rPr>
          <w:rFonts w:asciiTheme="minorHAnsi" w:hAnsiTheme="minorHAnsi" w:cstheme="minorHAnsi"/>
          <w:szCs w:val="24"/>
        </w:rPr>
        <w:t xml:space="preserve"> de financiación</w:t>
      </w:r>
      <w:r w:rsidR="006F2945" w:rsidRPr="0080490E">
        <w:rPr>
          <w:rFonts w:asciiTheme="minorHAnsi" w:hAnsiTheme="minorHAnsi" w:cstheme="minorHAnsi"/>
          <w:szCs w:val="24"/>
        </w:rPr>
        <w:t xml:space="preserve">. </w:t>
      </w:r>
      <w:r w:rsidRPr="0080490E">
        <w:rPr>
          <w:rFonts w:asciiTheme="minorHAnsi" w:hAnsiTheme="minorHAnsi" w:cstheme="minorHAnsi"/>
          <w:szCs w:val="24"/>
        </w:rPr>
        <w:t>Este</w:t>
      </w:r>
      <w:r w:rsidR="006F2945" w:rsidRPr="0080490E">
        <w:rPr>
          <w:rFonts w:asciiTheme="minorHAnsi" w:hAnsiTheme="minorHAnsi" w:cstheme="minorHAnsi"/>
          <w:szCs w:val="24"/>
        </w:rPr>
        <w:t xml:space="preserve"> contrato</w:t>
      </w:r>
      <w:r w:rsidR="0070668D" w:rsidRPr="0080490E">
        <w:rPr>
          <w:rFonts w:asciiTheme="minorHAnsi" w:hAnsiTheme="minorHAnsi" w:cstheme="minorHAnsi"/>
          <w:szCs w:val="24"/>
        </w:rPr>
        <w:t xml:space="preserve"> </w:t>
      </w:r>
      <w:r w:rsidR="006F2945" w:rsidRPr="0080490E">
        <w:rPr>
          <w:rFonts w:asciiTheme="minorHAnsi" w:hAnsiTheme="minorHAnsi" w:cstheme="minorHAnsi"/>
          <w:szCs w:val="24"/>
        </w:rPr>
        <w:t xml:space="preserve">se </w:t>
      </w:r>
      <w:r w:rsidRPr="0080490E">
        <w:rPr>
          <w:rFonts w:asciiTheme="minorHAnsi" w:hAnsiTheme="minorHAnsi" w:cstheme="minorHAnsi"/>
          <w:szCs w:val="24"/>
        </w:rPr>
        <w:t xml:space="preserve">puede </w:t>
      </w:r>
      <w:r w:rsidR="006F2945" w:rsidRPr="0080490E">
        <w:rPr>
          <w:rFonts w:asciiTheme="minorHAnsi" w:hAnsiTheme="minorHAnsi" w:cstheme="minorHAnsi"/>
          <w:szCs w:val="24"/>
        </w:rPr>
        <w:t>articula</w:t>
      </w:r>
      <w:r w:rsidRPr="0080490E">
        <w:rPr>
          <w:rFonts w:asciiTheme="minorHAnsi" w:hAnsiTheme="minorHAnsi" w:cstheme="minorHAnsi"/>
          <w:szCs w:val="24"/>
        </w:rPr>
        <w:t>r</w:t>
      </w:r>
      <w:r w:rsidR="006F2945" w:rsidRPr="0080490E">
        <w:rPr>
          <w:rFonts w:asciiTheme="minorHAnsi" w:hAnsiTheme="minorHAnsi" w:cstheme="minorHAnsi"/>
          <w:szCs w:val="24"/>
        </w:rPr>
        <w:t xml:space="preserve"> tecnológicamente </w:t>
      </w:r>
      <w:r w:rsidRPr="0080490E">
        <w:rPr>
          <w:rFonts w:asciiTheme="minorHAnsi" w:hAnsiTheme="minorHAnsi" w:cstheme="minorHAnsi"/>
          <w:szCs w:val="24"/>
        </w:rPr>
        <w:t>para</w:t>
      </w:r>
      <w:r w:rsidR="006F2945" w:rsidRPr="0080490E">
        <w:rPr>
          <w:rFonts w:asciiTheme="minorHAnsi" w:hAnsiTheme="minorHAnsi" w:cstheme="minorHAnsi"/>
          <w:szCs w:val="24"/>
        </w:rPr>
        <w:t xml:space="preserve"> convertirlo en un criptoactivo</w:t>
      </w:r>
      <w:r w:rsidR="00947E81" w:rsidRPr="0080490E">
        <w:rPr>
          <w:rFonts w:asciiTheme="minorHAnsi" w:hAnsiTheme="minorHAnsi" w:cstheme="minorHAnsi"/>
          <w:szCs w:val="24"/>
        </w:rPr>
        <w:t xml:space="preserve"> </w:t>
      </w:r>
      <w:r w:rsidR="00710444" w:rsidRPr="0080490E">
        <w:rPr>
          <w:rFonts w:asciiTheme="minorHAnsi" w:hAnsiTheme="minorHAnsi" w:cstheme="minorHAnsi"/>
          <w:szCs w:val="24"/>
        </w:rPr>
        <w:t xml:space="preserve">que esté </w:t>
      </w:r>
      <w:r w:rsidR="00947E81" w:rsidRPr="0080490E">
        <w:rPr>
          <w:rFonts w:asciiTheme="minorHAnsi" w:hAnsiTheme="minorHAnsi" w:cstheme="minorHAnsi"/>
          <w:szCs w:val="24"/>
        </w:rPr>
        <w:t xml:space="preserve">custodiado en una cadena de bloques y </w:t>
      </w:r>
      <w:r w:rsidR="00710444" w:rsidRPr="0080490E">
        <w:rPr>
          <w:rFonts w:asciiTheme="minorHAnsi" w:hAnsiTheme="minorHAnsi" w:cstheme="minorHAnsi"/>
          <w:szCs w:val="24"/>
        </w:rPr>
        <w:t xml:space="preserve">sus prestaciones </w:t>
      </w:r>
      <w:r w:rsidR="00B471BB" w:rsidRPr="0080490E">
        <w:rPr>
          <w:rFonts w:asciiTheme="minorHAnsi" w:hAnsiTheme="minorHAnsi" w:cstheme="minorHAnsi"/>
          <w:szCs w:val="24"/>
        </w:rPr>
        <w:t xml:space="preserve">queden </w:t>
      </w:r>
      <w:r w:rsidR="00947E81" w:rsidRPr="0080490E">
        <w:rPr>
          <w:rFonts w:asciiTheme="minorHAnsi" w:hAnsiTheme="minorHAnsi" w:cstheme="minorHAnsi"/>
          <w:szCs w:val="24"/>
        </w:rPr>
        <w:t>automatizad</w:t>
      </w:r>
      <w:r w:rsidR="00710444" w:rsidRPr="0080490E">
        <w:rPr>
          <w:rFonts w:asciiTheme="minorHAnsi" w:hAnsiTheme="minorHAnsi" w:cstheme="minorHAnsi"/>
          <w:szCs w:val="24"/>
        </w:rPr>
        <w:t>as</w:t>
      </w:r>
      <w:r w:rsidR="00947E81" w:rsidRPr="0080490E">
        <w:rPr>
          <w:rFonts w:asciiTheme="minorHAnsi" w:hAnsiTheme="minorHAnsi" w:cstheme="minorHAnsi"/>
          <w:szCs w:val="24"/>
        </w:rPr>
        <w:t xml:space="preserve"> a través de </w:t>
      </w:r>
      <w:proofErr w:type="spellStart"/>
      <w:r w:rsidR="00947E81" w:rsidRPr="0080490E">
        <w:rPr>
          <w:rFonts w:asciiTheme="minorHAnsi" w:hAnsiTheme="minorHAnsi" w:cstheme="minorHAnsi"/>
          <w:i/>
          <w:iCs/>
          <w:szCs w:val="24"/>
        </w:rPr>
        <w:t>smart</w:t>
      </w:r>
      <w:proofErr w:type="spellEnd"/>
      <w:r w:rsidR="00947E81" w:rsidRPr="0080490E">
        <w:rPr>
          <w:rFonts w:asciiTheme="minorHAnsi" w:hAnsiTheme="minorHAnsi" w:cstheme="minorHAnsi"/>
          <w:i/>
          <w:iCs/>
          <w:szCs w:val="24"/>
        </w:rPr>
        <w:t xml:space="preserve"> </w:t>
      </w:r>
      <w:proofErr w:type="spellStart"/>
      <w:r w:rsidR="00947E81" w:rsidRPr="0080490E">
        <w:rPr>
          <w:rFonts w:asciiTheme="minorHAnsi" w:hAnsiTheme="minorHAnsi" w:cstheme="minorHAnsi"/>
          <w:i/>
          <w:iCs/>
          <w:szCs w:val="24"/>
        </w:rPr>
        <w:t>contracts</w:t>
      </w:r>
      <w:proofErr w:type="spellEnd"/>
      <w:r w:rsidR="006F2945" w:rsidRPr="0080490E">
        <w:rPr>
          <w:rFonts w:asciiTheme="minorHAnsi" w:hAnsiTheme="minorHAnsi" w:cstheme="minorHAnsi"/>
          <w:szCs w:val="24"/>
        </w:rPr>
        <w:t>.</w:t>
      </w:r>
    </w:p>
    <w:p w14:paraId="39E626CB" w14:textId="62096E01" w:rsidR="004122A8" w:rsidRPr="0080490E" w:rsidRDefault="004122A8"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Ahora bien, l</w:t>
      </w:r>
      <w:r w:rsidR="006F2945" w:rsidRPr="0080490E">
        <w:rPr>
          <w:rFonts w:asciiTheme="minorHAnsi" w:hAnsiTheme="minorHAnsi" w:cstheme="minorHAnsi"/>
          <w:szCs w:val="24"/>
        </w:rPr>
        <w:t xml:space="preserve">a </w:t>
      </w:r>
      <w:r w:rsidR="00F6452B" w:rsidRPr="0080490E">
        <w:rPr>
          <w:rFonts w:asciiTheme="minorHAnsi" w:hAnsiTheme="minorHAnsi" w:cstheme="minorHAnsi"/>
          <w:szCs w:val="24"/>
        </w:rPr>
        <w:t xml:space="preserve">natural </w:t>
      </w:r>
      <w:r w:rsidR="006F2945" w:rsidRPr="0080490E">
        <w:rPr>
          <w:rFonts w:asciiTheme="minorHAnsi" w:hAnsiTheme="minorHAnsi" w:cstheme="minorHAnsi"/>
          <w:szCs w:val="24"/>
        </w:rPr>
        <w:t>transmisi</w:t>
      </w:r>
      <w:r w:rsidR="00F6452B" w:rsidRPr="0080490E">
        <w:rPr>
          <w:rFonts w:asciiTheme="minorHAnsi" w:hAnsiTheme="minorHAnsi" w:cstheme="minorHAnsi"/>
          <w:szCs w:val="24"/>
        </w:rPr>
        <w:t xml:space="preserve">bilidad de los tokens puede limitarse, de modo que </w:t>
      </w:r>
      <w:r w:rsidR="00EE550C" w:rsidRPr="0080490E">
        <w:rPr>
          <w:rFonts w:asciiTheme="minorHAnsi" w:hAnsiTheme="minorHAnsi" w:cstheme="minorHAnsi"/>
          <w:szCs w:val="24"/>
        </w:rPr>
        <w:t>su</w:t>
      </w:r>
      <w:r w:rsidR="00F6452B" w:rsidRPr="0080490E">
        <w:rPr>
          <w:rFonts w:asciiTheme="minorHAnsi" w:hAnsiTheme="minorHAnsi" w:cstheme="minorHAnsi"/>
          <w:szCs w:val="24"/>
        </w:rPr>
        <w:t xml:space="preserve"> intercambio </w:t>
      </w:r>
      <w:r w:rsidR="00EE550C" w:rsidRPr="0080490E">
        <w:rPr>
          <w:rFonts w:asciiTheme="minorHAnsi" w:hAnsiTheme="minorHAnsi" w:cstheme="minorHAnsi"/>
          <w:szCs w:val="24"/>
        </w:rPr>
        <w:t>se</w:t>
      </w:r>
      <w:r w:rsidR="006F2945" w:rsidRPr="0080490E">
        <w:rPr>
          <w:rFonts w:asciiTheme="minorHAnsi" w:hAnsiTheme="minorHAnsi" w:cstheme="minorHAnsi"/>
          <w:szCs w:val="24"/>
        </w:rPr>
        <w:t xml:space="preserve"> somet</w:t>
      </w:r>
      <w:r w:rsidR="00EE550C" w:rsidRPr="0080490E">
        <w:rPr>
          <w:rFonts w:asciiTheme="minorHAnsi" w:hAnsiTheme="minorHAnsi" w:cstheme="minorHAnsi"/>
          <w:szCs w:val="24"/>
        </w:rPr>
        <w:t>a</w:t>
      </w:r>
      <w:r w:rsidR="006F2945" w:rsidRPr="0080490E">
        <w:rPr>
          <w:rFonts w:asciiTheme="minorHAnsi" w:hAnsiTheme="minorHAnsi" w:cstheme="minorHAnsi"/>
          <w:szCs w:val="24"/>
        </w:rPr>
        <w:t xml:space="preserve"> a los requisitos de la cesión de contrato</w:t>
      </w:r>
      <w:r w:rsidR="005B4BA3" w:rsidRPr="0080490E">
        <w:rPr>
          <w:rFonts w:asciiTheme="minorHAnsi" w:hAnsiTheme="minorHAnsi" w:cstheme="minorHAnsi"/>
          <w:szCs w:val="24"/>
        </w:rPr>
        <w:t>s</w:t>
      </w:r>
      <w:r w:rsidR="006F2945" w:rsidRPr="0080490E">
        <w:rPr>
          <w:rFonts w:asciiTheme="minorHAnsi" w:hAnsiTheme="minorHAnsi" w:cstheme="minorHAnsi"/>
          <w:szCs w:val="24"/>
        </w:rPr>
        <w:t xml:space="preserve">, sin que </w:t>
      </w:r>
      <w:r w:rsidRPr="0080490E">
        <w:rPr>
          <w:rFonts w:asciiTheme="minorHAnsi" w:hAnsiTheme="minorHAnsi" w:cstheme="minorHAnsi"/>
          <w:szCs w:val="24"/>
        </w:rPr>
        <w:t>sea</w:t>
      </w:r>
      <w:r w:rsidR="006F2945" w:rsidRPr="0080490E">
        <w:rPr>
          <w:rFonts w:asciiTheme="minorHAnsi" w:hAnsiTheme="minorHAnsi" w:cstheme="minorHAnsi"/>
          <w:szCs w:val="24"/>
        </w:rPr>
        <w:t xml:space="preserve"> posible </w:t>
      </w:r>
      <w:r w:rsidR="003D0AF9" w:rsidRPr="0080490E">
        <w:rPr>
          <w:rFonts w:asciiTheme="minorHAnsi" w:hAnsiTheme="minorHAnsi" w:cstheme="minorHAnsi"/>
          <w:szCs w:val="24"/>
        </w:rPr>
        <w:t>su negociación</w:t>
      </w:r>
      <w:r w:rsidR="006F2945" w:rsidRPr="0080490E">
        <w:rPr>
          <w:rFonts w:asciiTheme="minorHAnsi" w:hAnsiTheme="minorHAnsi" w:cstheme="minorHAnsi"/>
          <w:szCs w:val="24"/>
        </w:rPr>
        <w:t xml:space="preserve"> en un mercado impersonal y generalizado.</w:t>
      </w:r>
      <w:r w:rsidR="003F4BEF" w:rsidRPr="0080490E">
        <w:rPr>
          <w:rFonts w:asciiTheme="minorHAnsi" w:hAnsiTheme="minorHAnsi" w:cstheme="minorHAnsi"/>
          <w:szCs w:val="24"/>
        </w:rPr>
        <w:t xml:space="preserve"> En este contexto</w:t>
      </w:r>
      <w:r w:rsidR="00947E81" w:rsidRPr="0080490E">
        <w:rPr>
          <w:rFonts w:asciiTheme="minorHAnsi" w:hAnsiTheme="minorHAnsi" w:cstheme="minorHAnsi"/>
          <w:szCs w:val="24"/>
        </w:rPr>
        <w:t>,</w:t>
      </w:r>
      <w:r w:rsidR="003F4BEF" w:rsidRPr="0080490E">
        <w:rPr>
          <w:rFonts w:asciiTheme="minorHAnsi" w:hAnsiTheme="minorHAnsi" w:cstheme="minorHAnsi"/>
          <w:szCs w:val="24"/>
        </w:rPr>
        <w:t xml:space="preserve"> el empleo de </w:t>
      </w:r>
      <w:r w:rsidR="003F4BEF" w:rsidRPr="0080490E">
        <w:rPr>
          <w:rFonts w:asciiTheme="minorHAnsi" w:hAnsiTheme="minorHAnsi" w:cstheme="minorHAnsi"/>
          <w:szCs w:val="24"/>
        </w:rPr>
        <w:lastRenderedPageBreak/>
        <w:t xml:space="preserve">la tecnología blockchain </w:t>
      </w:r>
      <w:r w:rsidR="005313DC" w:rsidRPr="0080490E">
        <w:rPr>
          <w:rFonts w:asciiTheme="minorHAnsi" w:hAnsiTheme="minorHAnsi" w:cstheme="minorHAnsi"/>
          <w:szCs w:val="24"/>
        </w:rPr>
        <w:t xml:space="preserve">u otra análoga </w:t>
      </w:r>
      <w:r w:rsidR="003F4BEF" w:rsidRPr="0080490E">
        <w:rPr>
          <w:rFonts w:asciiTheme="minorHAnsi" w:hAnsiTheme="minorHAnsi" w:cstheme="minorHAnsi"/>
          <w:szCs w:val="24"/>
        </w:rPr>
        <w:t xml:space="preserve">constituye </w:t>
      </w:r>
      <w:r w:rsidR="00947E81" w:rsidRPr="0080490E">
        <w:rPr>
          <w:rFonts w:asciiTheme="minorHAnsi" w:hAnsiTheme="minorHAnsi" w:cstheme="minorHAnsi"/>
          <w:szCs w:val="24"/>
        </w:rPr>
        <w:t xml:space="preserve">únicamente </w:t>
      </w:r>
      <w:r w:rsidR="003F4BEF" w:rsidRPr="0080490E">
        <w:rPr>
          <w:rFonts w:asciiTheme="minorHAnsi" w:hAnsiTheme="minorHAnsi" w:cstheme="minorHAnsi"/>
          <w:szCs w:val="24"/>
        </w:rPr>
        <w:t xml:space="preserve">un mecanismo </w:t>
      </w:r>
      <w:r w:rsidR="00947E81" w:rsidRPr="0080490E">
        <w:rPr>
          <w:rFonts w:asciiTheme="minorHAnsi" w:hAnsiTheme="minorHAnsi" w:cstheme="minorHAnsi"/>
          <w:szCs w:val="24"/>
        </w:rPr>
        <w:t xml:space="preserve">catalizador para la industria inmobiliaria porque </w:t>
      </w:r>
      <w:r w:rsidR="003F4BEF" w:rsidRPr="0080490E">
        <w:rPr>
          <w:rFonts w:asciiTheme="minorHAnsi" w:hAnsiTheme="minorHAnsi" w:cstheme="minorHAnsi"/>
          <w:szCs w:val="24"/>
        </w:rPr>
        <w:t>simplifica</w:t>
      </w:r>
      <w:r w:rsidR="00947E81" w:rsidRPr="0080490E">
        <w:rPr>
          <w:rFonts w:asciiTheme="minorHAnsi" w:hAnsiTheme="minorHAnsi" w:cstheme="minorHAnsi"/>
          <w:szCs w:val="24"/>
        </w:rPr>
        <w:t xml:space="preserve"> </w:t>
      </w:r>
      <w:r w:rsidR="003F4BEF" w:rsidRPr="0080490E">
        <w:rPr>
          <w:rFonts w:asciiTheme="minorHAnsi" w:hAnsiTheme="minorHAnsi" w:cstheme="minorHAnsi"/>
          <w:szCs w:val="24"/>
        </w:rPr>
        <w:t>la captación de financiación para el promotor</w:t>
      </w:r>
      <w:r w:rsidR="0007194E" w:rsidRPr="0080490E">
        <w:rPr>
          <w:rFonts w:asciiTheme="minorHAnsi" w:hAnsiTheme="minorHAnsi" w:cstheme="minorHAnsi"/>
          <w:szCs w:val="24"/>
        </w:rPr>
        <w:t>,</w:t>
      </w:r>
      <w:r w:rsidR="003F4BEF" w:rsidRPr="0080490E">
        <w:rPr>
          <w:rFonts w:asciiTheme="minorHAnsi" w:hAnsiTheme="minorHAnsi" w:cstheme="minorHAnsi"/>
          <w:szCs w:val="24"/>
        </w:rPr>
        <w:t xml:space="preserve"> la </w:t>
      </w:r>
      <w:r w:rsidR="0007194E" w:rsidRPr="0080490E">
        <w:rPr>
          <w:rFonts w:asciiTheme="minorHAnsi" w:hAnsiTheme="minorHAnsi" w:cstheme="minorHAnsi"/>
          <w:szCs w:val="24"/>
        </w:rPr>
        <w:t xml:space="preserve">liquidez de la inversión y la </w:t>
      </w:r>
      <w:r w:rsidR="003F4BEF" w:rsidRPr="0080490E">
        <w:rPr>
          <w:rFonts w:asciiTheme="minorHAnsi" w:hAnsiTheme="minorHAnsi" w:cstheme="minorHAnsi"/>
          <w:szCs w:val="24"/>
        </w:rPr>
        <w:t>eficiente distribución de los retornos económicos para el inversor.</w:t>
      </w:r>
    </w:p>
    <w:p w14:paraId="032ADAF5" w14:textId="67D16C72" w:rsidR="006F2945" w:rsidRPr="0080490E" w:rsidRDefault="004122A8" w:rsidP="0080490E">
      <w:pPr>
        <w:spacing w:after="0" w:line="276" w:lineRule="auto"/>
        <w:ind w:firstLine="0"/>
        <w:rPr>
          <w:rFonts w:asciiTheme="minorHAnsi" w:hAnsiTheme="minorHAnsi" w:cstheme="minorHAnsi"/>
          <w:szCs w:val="24"/>
        </w:rPr>
      </w:pPr>
      <w:r w:rsidRPr="0080490E">
        <w:rPr>
          <w:rFonts w:asciiTheme="minorHAnsi" w:hAnsiTheme="minorHAnsi" w:cstheme="minorHAnsi"/>
          <w:szCs w:val="24"/>
        </w:rPr>
        <w:t>Aunque el principio de neutralidad tecnológica permit</w:t>
      </w:r>
      <w:r w:rsidR="0007194E" w:rsidRPr="0080490E">
        <w:rPr>
          <w:rFonts w:asciiTheme="minorHAnsi" w:hAnsiTheme="minorHAnsi" w:cstheme="minorHAnsi"/>
          <w:szCs w:val="24"/>
        </w:rPr>
        <w:t>a</w:t>
      </w:r>
      <w:r w:rsidRPr="0080490E">
        <w:rPr>
          <w:rFonts w:asciiTheme="minorHAnsi" w:hAnsiTheme="minorHAnsi" w:cstheme="minorHAnsi"/>
          <w:szCs w:val="24"/>
        </w:rPr>
        <w:t xml:space="preserve"> excluir la normativa reguladora del mercado de valores, será más complejo evitar la aplicación del Reglamento MiCA por </w:t>
      </w:r>
      <w:r w:rsidR="0007194E" w:rsidRPr="0080490E">
        <w:rPr>
          <w:rFonts w:asciiTheme="minorHAnsi" w:hAnsiTheme="minorHAnsi" w:cstheme="minorHAnsi"/>
          <w:szCs w:val="24"/>
        </w:rPr>
        <w:t>su función de cláusula de cierre</w:t>
      </w:r>
      <w:r w:rsidRPr="0080490E">
        <w:rPr>
          <w:rFonts w:asciiTheme="minorHAnsi" w:hAnsiTheme="minorHAnsi" w:cstheme="minorHAnsi"/>
          <w:szCs w:val="24"/>
        </w:rPr>
        <w:t xml:space="preserve">. Sin embargo, </w:t>
      </w:r>
      <w:r w:rsidR="00947E81" w:rsidRPr="0080490E">
        <w:rPr>
          <w:rFonts w:asciiTheme="minorHAnsi" w:hAnsiTheme="minorHAnsi" w:cstheme="minorHAnsi"/>
          <w:szCs w:val="24"/>
        </w:rPr>
        <w:t>su</w:t>
      </w:r>
      <w:r w:rsidRPr="0080490E">
        <w:rPr>
          <w:rFonts w:asciiTheme="minorHAnsi" w:hAnsiTheme="minorHAnsi" w:cstheme="minorHAnsi"/>
          <w:szCs w:val="24"/>
        </w:rPr>
        <w:t xml:space="preserve"> incidencia </w:t>
      </w:r>
      <w:r w:rsidR="00947E81" w:rsidRPr="0080490E">
        <w:rPr>
          <w:rFonts w:asciiTheme="minorHAnsi" w:hAnsiTheme="minorHAnsi" w:cstheme="minorHAnsi"/>
          <w:szCs w:val="24"/>
        </w:rPr>
        <w:t xml:space="preserve">en </w:t>
      </w:r>
      <w:r w:rsidR="0007194E" w:rsidRPr="0080490E">
        <w:rPr>
          <w:rFonts w:asciiTheme="minorHAnsi" w:hAnsiTheme="minorHAnsi" w:cstheme="minorHAnsi"/>
          <w:szCs w:val="24"/>
        </w:rPr>
        <w:t>las</w:t>
      </w:r>
      <w:r w:rsidR="00947E81" w:rsidRPr="0080490E">
        <w:rPr>
          <w:rFonts w:asciiTheme="minorHAnsi" w:hAnsiTheme="minorHAnsi" w:cstheme="minorHAnsi"/>
          <w:szCs w:val="24"/>
        </w:rPr>
        <w:t xml:space="preserve"> operaciones </w:t>
      </w:r>
      <w:r w:rsidR="0007194E" w:rsidRPr="0080490E">
        <w:rPr>
          <w:rFonts w:asciiTheme="minorHAnsi" w:hAnsiTheme="minorHAnsi" w:cstheme="minorHAnsi"/>
          <w:szCs w:val="24"/>
        </w:rPr>
        <w:t xml:space="preserve">de inversión inmobiliaria directa a través de tokens </w:t>
      </w:r>
      <w:r w:rsidR="00947E81" w:rsidRPr="0080490E">
        <w:rPr>
          <w:rFonts w:asciiTheme="minorHAnsi" w:hAnsiTheme="minorHAnsi" w:cstheme="minorHAnsi"/>
          <w:szCs w:val="24"/>
        </w:rPr>
        <w:t>será</w:t>
      </w:r>
      <w:r w:rsidRPr="0080490E">
        <w:rPr>
          <w:rFonts w:asciiTheme="minorHAnsi" w:hAnsiTheme="minorHAnsi" w:cstheme="minorHAnsi"/>
          <w:szCs w:val="24"/>
        </w:rPr>
        <w:t xml:space="preserve"> reducida</w:t>
      </w:r>
      <w:r w:rsidR="0022587C" w:rsidRPr="0080490E">
        <w:rPr>
          <w:rFonts w:asciiTheme="minorHAnsi" w:hAnsiTheme="minorHAnsi" w:cstheme="minorHAnsi"/>
          <w:szCs w:val="24"/>
        </w:rPr>
        <w:t xml:space="preserve"> </w:t>
      </w:r>
      <w:r w:rsidRPr="0080490E">
        <w:rPr>
          <w:rFonts w:asciiTheme="minorHAnsi" w:hAnsiTheme="minorHAnsi" w:cstheme="minorHAnsi"/>
          <w:szCs w:val="24"/>
        </w:rPr>
        <w:t xml:space="preserve">y, </w:t>
      </w:r>
      <w:r w:rsidR="00811FD9" w:rsidRPr="0080490E">
        <w:rPr>
          <w:rFonts w:asciiTheme="minorHAnsi" w:hAnsiTheme="minorHAnsi" w:cstheme="minorHAnsi"/>
          <w:szCs w:val="24"/>
        </w:rPr>
        <w:t>dependiendo de</w:t>
      </w:r>
      <w:r w:rsidR="0007194E" w:rsidRPr="0080490E">
        <w:rPr>
          <w:rFonts w:asciiTheme="minorHAnsi" w:hAnsiTheme="minorHAnsi" w:cstheme="minorHAnsi"/>
          <w:szCs w:val="24"/>
        </w:rPr>
        <w:t xml:space="preserve"> su</w:t>
      </w:r>
      <w:r w:rsidR="00811FD9" w:rsidRPr="0080490E">
        <w:rPr>
          <w:rFonts w:asciiTheme="minorHAnsi" w:hAnsiTheme="minorHAnsi" w:cstheme="minorHAnsi"/>
          <w:szCs w:val="24"/>
        </w:rPr>
        <w:t xml:space="preserve"> valor global</w:t>
      </w:r>
      <w:r w:rsidR="0022587C" w:rsidRPr="0080490E">
        <w:rPr>
          <w:rFonts w:asciiTheme="minorHAnsi" w:hAnsiTheme="minorHAnsi" w:cstheme="minorHAnsi"/>
          <w:szCs w:val="24"/>
        </w:rPr>
        <w:t xml:space="preserve">, </w:t>
      </w:r>
      <w:r w:rsidR="00811FD9" w:rsidRPr="0080490E">
        <w:rPr>
          <w:rFonts w:asciiTheme="minorHAnsi" w:hAnsiTheme="minorHAnsi" w:cstheme="minorHAnsi"/>
          <w:szCs w:val="24"/>
        </w:rPr>
        <w:t>podría</w:t>
      </w:r>
      <w:r w:rsidRPr="0080490E">
        <w:rPr>
          <w:rFonts w:asciiTheme="minorHAnsi" w:hAnsiTheme="minorHAnsi" w:cstheme="minorHAnsi"/>
          <w:szCs w:val="24"/>
        </w:rPr>
        <w:t xml:space="preserve"> ser </w:t>
      </w:r>
      <w:r w:rsidR="0022587C" w:rsidRPr="0080490E">
        <w:rPr>
          <w:rFonts w:asciiTheme="minorHAnsi" w:hAnsiTheme="minorHAnsi" w:cstheme="minorHAnsi"/>
          <w:szCs w:val="24"/>
        </w:rPr>
        <w:t>excluida.</w:t>
      </w:r>
    </w:p>
    <w:p w14:paraId="315BFD7A" w14:textId="77777777" w:rsidR="00514F0B" w:rsidRPr="0080490E" w:rsidRDefault="00514F0B" w:rsidP="0080490E">
      <w:pPr>
        <w:spacing w:after="0" w:line="276" w:lineRule="auto"/>
        <w:ind w:firstLine="0"/>
        <w:rPr>
          <w:rFonts w:asciiTheme="minorHAnsi" w:hAnsiTheme="minorHAnsi" w:cstheme="minorHAnsi"/>
          <w:szCs w:val="24"/>
        </w:rPr>
      </w:pPr>
    </w:p>
    <w:p w14:paraId="00DCB4F1" w14:textId="1985A408" w:rsidR="00514F0B" w:rsidRPr="0080490E" w:rsidRDefault="00514F0B" w:rsidP="0080490E">
      <w:pPr>
        <w:pStyle w:val="Ttulo1"/>
        <w:spacing w:after="0" w:line="276" w:lineRule="auto"/>
        <w:ind w:firstLine="0"/>
        <w:rPr>
          <w:rFonts w:asciiTheme="minorHAnsi" w:hAnsiTheme="minorHAnsi" w:cstheme="minorHAnsi"/>
        </w:rPr>
      </w:pPr>
      <w:r w:rsidRPr="0080490E">
        <w:rPr>
          <w:rFonts w:asciiTheme="minorHAnsi" w:hAnsiTheme="minorHAnsi" w:cstheme="minorHAnsi"/>
        </w:rPr>
        <w:t>Bibliografía</w:t>
      </w:r>
    </w:p>
    <w:p w14:paraId="383D93F6" w14:textId="7DADAB32" w:rsidR="00863554" w:rsidRPr="0080490E" w:rsidRDefault="00863554"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Álvarez Olalla</w:t>
      </w:r>
      <w:r w:rsidRPr="0080490E">
        <w:rPr>
          <w:rFonts w:asciiTheme="minorHAnsi" w:eastAsia="Times New Roman" w:hAnsiTheme="minorHAnsi" w:cstheme="minorHAnsi"/>
          <w:color w:val="000000"/>
          <w:szCs w:val="24"/>
          <w:lang w:eastAsia="es-ES"/>
        </w:rPr>
        <w:t xml:space="preserve">, Pilar, “Contratos de financiación”, en </w:t>
      </w:r>
      <w:proofErr w:type="spellStart"/>
      <w:r w:rsidRPr="0080490E">
        <w:rPr>
          <w:rFonts w:asciiTheme="minorHAnsi" w:eastAsia="Times New Roman" w:hAnsiTheme="minorHAnsi" w:cstheme="minorHAnsi"/>
          <w:smallCaps/>
          <w:color w:val="000000"/>
          <w:szCs w:val="24"/>
          <w:lang w:eastAsia="es-ES"/>
        </w:rPr>
        <w:t>Bercovitz</w:t>
      </w:r>
      <w:proofErr w:type="spellEnd"/>
      <w:r w:rsidRPr="0080490E">
        <w:rPr>
          <w:rFonts w:asciiTheme="minorHAnsi" w:eastAsia="Times New Roman" w:hAnsiTheme="minorHAnsi" w:cstheme="minorHAnsi"/>
          <w:smallCaps/>
          <w:color w:val="000000"/>
          <w:szCs w:val="24"/>
          <w:lang w:eastAsia="es-ES"/>
        </w:rPr>
        <w:t xml:space="preserve"> Rodríguez-Cano</w:t>
      </w:r>
      <w:r w:rsidRPr="0080490E">
        <w:rPr>
          <w:rFonts w:asciiTheme="minorHAnsi" w:eastAsia="Times New Roman" w:hAnsiTheme="minorHAnsi" w:cstheme="minorHAnsi"/>
          <w:color w:val="000000"/>
          <w:szCs w:val="24"/>
          <w:lang w:eastAsia="es-ES"/>
        </w:rPr>
        <w:t xml:space="preserve">, Rodrigo, </w:t>
      </w:r>
      <w:r w:rsidRPr="0080490E">
        <w:rPr>
          <w:rFonts w:asciiTheme="minorHAnsi" w:eastAsia="Times New Roman" w:hAnsiTheme="minorHAnsi" w:cstheme="minorHAnsi"/>
          <w:i/>
          <w:iCs/>
          <w:color w:val="000000"/>
          <w:szCs w:val="24"/>
          <w:lang w:eastAsia="es-ES"/>
        </w:rPr>
        <w:t>Tratado de contratos</w:t>
      </w:r>
      <w:r w:rsidRPr="0080490E">
        <w:rPr>
          <w:rFonts w:asciiTheme="minorHAnsi" w:eastAsia="Times New Roman" w:hAnsiTheme="minorHAnsi" w:cstheme="minorHAnsi"/>
          <w:color w:val="000000"/>
          <w:szCs w:val="24"/>
          <w:lang w:eastAsia="es-ES"/>
        </w:rPr>
        <w:t>, 3ª ed., Tirant lo Blanch, Valencia, 2020</w:t>
      </w:r>
      <w:r w:rsidRPr="0080490E">
        <w:rPr>
          <w:rFonts w:asciiTheme="minorHAnsi" w:eastAsia="Times New Roman" w:hAnsiTheme="minorHAnsi" w:cstheme="minorHAnsi"/>
          <w:smallCaps/>
          <w:color w:val="000000"/>
          <w:szCs w:val="24"/>
          <w:lang w:eastAsia="es-ES"/>
        </w:rPr>
        <w:t>.</w:t>
      </w:r>
    </w:p>
    <w:p w14:paraId="13AD70E7" w14:textId="36334301" w:rsidR="00514F0B" w:rsidRPr="0080490E" w:rsidRDefault="00863554" w:rsidP="0080490E">
      <w:pPr>
        <w:spacing w:after="0" w:line="276" w:lineRule="auto"/>
        <w:ind w:firstLine="0"/>
        <w:rPr>
          <w:rFonts w:asciiTheme="minorHAnsi" w:hAnsiTheme="minorHAnsi" w:cstheme="minorHAnsi"/>
          <w:szCs w:val="24"/>
        </w:rPr>
      </w:pPr>
      <w:proofErr w:type="spellStart"/>
      <w:r w:rsidRPr="0080490E">
        <w:rPr>
          <w:rFonts w:asciiTheme="minorHAnsi" w:eastAsia="Times New Roman" w:hAnsiTheme="minorHAnsi" w:cstheme="minorHAnsi"/>
          <w:smallCaps/>
          <w:color w:val="000000"/>
          <w:szCs w:val="24"/>
          <w:lang w:eastAsia="es-ES"/>
        </w:rPr>
        <w:t>Argelich</w:t>
      </w:r>
      <w:proofErr w:type="spellEnd"/>
      <w:r w:rsidRPr="0080490E">
        <w:rPr>
          <w:rFonts w:asciiTheme="minorHAnsi" w:eastAsia="Times New Roman" w:hAnsiTheme="minorHAnsi" w:cstheme="minorHAnsi"/>
          <w:smallCaps/>
          <w:color w:val="000000"/>
          <w:szCs w:val="24"/>
          <w:lang w:eastAsia="es-ES"/>
        </w:rPr>
        <w:t xml:space="preserve"> </w:t>
      </w:r>
      <w:proofErr w:type="spellStart"/>
      <w:r w:rsidRPr="0080490E">
        <w:rPr>
          <w:rFonts w:asciiTheme="minorHAnsi" w:eastAsia="Times New Roman" w:hAnsiTheme="minorHAnsi" w:cstheme="minorHAnsi"/>
          <w:smallCaps/>
          <w:color w:val="000000"/>
          <w:szCs w:val="24"/>
          <w:lang w:eastAsia="es-ES"/>
        </w:rPr>
        <w:t>Comelles</w:t>
      </w:r>
      <w:proofErr w:type="spellEnd"/>
      <w:r w:rsidRPr="0080490E">
        <w:rPr>
          <w:rFonts w:asciiTheme="minorHAnsi" w:eastAsia="Times New Roman" w:hAnsiTheme="minorHAnsi" w:cstheme="minorHAnsi"/>
          <w:color w:val="000000"/>
          <w:szCs w:val="24"/>
          <w:lang w:eastAsia="es-ES"/>
        </w:rPr>
        <w:t xml:space="preserve">, Cristina, “La transmisión digital de la propiedad mediante su adquisición derivativa en las plataformas blockchain”, en </w:t>
      </w:r>
      <w:r w:rsidRPr="0080490E">
        <w:rPr>
          <w:rFonts w:asciiTheme="minorHAnsi" w:eastAsia="Times New Roman" w:hAnsiTheme="minorHAnsi" w:cstheme="minorHAnsi"/>
          <w:smallCaps/>
          <w:color w:val="000000"/>
          <w:szCs w:val="24"/>
          <w:lang w:eastAsia="es-ES"/>
        </w:rPr>
        <w:t xml:space="preserve">García </w:t>
      </w:r>
      <w:proofErr w:type="spellStart"/>
      <w:r w:rsidRPr="0080490E">
        <w:rPr>
          <w:rFonts w:asciiTheme="minorHAnsi" w:eastAsia="Times New Roman" w:hAnsiTheme="minorHAnsi" w:cstheme="minorHAnsi"/>
          <w:smallCaps/>
          <w:color w:val="000000"/>
          <w:szCs w:val="24"/>
          <w:lang w:eastAsia="es-ES"/>
        </w:rPr>
        <w:t>Goldar</w:t>
      </w:r>
      <w:proofErr w:type="spellEnd"/>
      <w:r w:rsidRPr="0080490E">
        <w:rPr>
          <w:rFonts w:asciiTheme="minorHAnsi" w:eastAsia="Times New Roman" w:hAnsiTheme="minorHAnsi" w:cstheme="minorHAnsi"/>
          <w:color w:val="000000"/>
          <w:szCs w:val="24"/>
          <w:lang w:eastAsia="es-ES"/>
        </w:rPr>
        <w:t>, Mónica/</w:t>
      </w:r>
      <w:r w:rsidRPr="0080490E">
        <w:rPr>
          <w:rFonts w:asciiTheme="minorHAnsi" w:eastAsia="Times New Roman" w:hAnsiTheme="minorHAnsi" w:cstheme="minorHAnsi"/>
          <w:smallCaps/>
          <w:color w:val="000000"/>
          <w:szCs w:val="24"/>
          <w:lang w:eastAsia="es-ES"/>
        </w:rPr>
        <w:t>Núñez Cerviño</w:t>
      </w:r>
      <w:r w:rsidRPr="0080490E">
        <w:rPr>
          <w:rFonts w:asciiTheme="minorHAnsi" w:eastAsia="Times New Roman" w:hAnsiTheme="minorHAnsi" w:cstheme="minorHAnsi"/>
          <w:color w:val="000000"/>
          <w:szCs w:val="24"/>
          <w:lang w:eastAsia="es-ES"/>
        </w:rPr>
        <w:t>, José (dirs.),</w:t>
      </w:r>
      <w:r w:rsidRPr="0080490E">
        <w:rPr>
          <w:rFonts w:asciiTheme="minorHAnsi" w:eastAsia="Times New Roman" w:hAnsiTheme="minorHAnsi" w:cstheme="minorHAnsi"/>
          <w:i/>
          <w:iCs/>
          <w:color w:val="000000"/>
          <w:szCs w:val="24"/>
          <w:lang w:eastAsia="es-ES"/>
        </w:rPr>
        <w:t xml:space="preserve"> El Derecho ante la tecnología: innovación y adaptación</w:t>
      </w:r>
      <w:r w:rsidRPr="0080490E">
        <w:rPr>
          <w:rFonts w:asciiTheme="minorHAnsi" w:eastAsia="Times New Roman" w:hAnsiTheme="minorHAnsi" w:cstheme="minorHAnsi"/>
          <w:color w:val="000000"/>
          <w:szCs w:val="24"/>
          <w:lang w:eastAsia="es-ES"/>
        </w:rPr>
        <w:t>, Colex, Madrid, 2022</w:t>
      </w:r>
      <w:r w:rsidR="00DC61A0" w:rsidRPr="0080490E">
        <w:rPr>
          <w:rFonts w:asciiTheme="minorHAnsi" w:eastAsia="Times New Roman" w:hAnsiTheme="minorHAnsi" w:cstheme="minorHAnsi"/>
          <w:color w:val="000000"/>
          <w:szCs w:val="24"/>
          <w:lang w:eastAsia="es-ES"/>
        </w:rPr>
        <w:t>.</w:t>
      </w:r>
    </w:p>
    <w:p w14:paraId="79B9841D" w14:textId="1B312917" w:rsidR="00863554" w:rsidRPr="0080490E" w:rsidRDefault="00863554"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Arrieta Sevilla</w:t>
      </w:r>
      <w:r w:rsidRPr="0080490E">
        <w:rPr>
          <w:rFonts w:asciiTheme="minorHAnsi" w:eastAsia="Times New Roman" w:hAnsiTheme="minorHAnsi" w:cstheme="minorHAnsi"/>
          <w:color w:val="000000"/>
          <w:szCs w:val="24"/>
          <w:lang w:eastAsia="es-ES"/>
        </w:rPr>
        <w:t xml:space="preserve">, Luis Javier, “El uso de tokens en transmisiones inmobiliarias”, </w:t>
      </w:r>
      <w:r w:rsidRPr="0080490E">
        <w:rPr>
          <w:rFonts w:asciiTheme="minorHAnsi" w:eastAsia="Times New Roman" w:hAnsiTheme="minorHAnsi" w:cstheme="minorHAnsi"/>
          <w:i/>
          <w:iCs/>
          <w:color w:val="000000"/>
          <w:szCs w:val="24"/>
          <w:lang w:eastAsia="es-ES"/>
        </w:rPr>
        <w:t xml:space="preserve">Revista de Derecho </w:t>
      </w:r>
      <w:r w:rsidR="00F31F67" w:rsidRPr="0080490E">
        <w:rPr>
          <w:rFonts w:asciiTheme="minorHAnsi" w:eastAsia="Times New Roman" w:hAnsiTheme="minorHAnsi" w:cstheme="minorHAnsi"/>
          <w:i/>
          <w:iCs/>
          <w:color w:val="000000"/>
          <w:szCs w:val="24"/>
          <w:lang w:eastAsia="es-ES"/>
        </w:rPr>
        <w:t>Civil</w:t>
      </w:r>
      <w:r w:rsidRPr="0080490E">
        <w:rPr>
          <w:rFonts w:asciiTheme="minorHAnsi" w:eastAsia="Times New Roman" w:hAnsiTheme="minorHAnsi" w:cstheme="minorHAnsi"/>
          <w:color w:val="000000"/>
          <w:szCs w:val="24"/>
          <w:lang w:eastAsia="es-ES"/>
        </w:rPr>
        <w:t>, vol. X, núm. 2, 2023.</w:t>
      </w:r>
    </w:p>
    <w:p w14:paraId="789D0568" w14:textId="600BC7CF" w:rsidR="00863554" w:rsidRPr="0080490E" w:rsidRDefault="00863554"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 xml:space="preserve">Berrocal </w:t>
      </w:r>
      <w:proofErr w:type="spellStart"/>
      <w:r w:rsidRPr="0080490E">
        <w:rPr>
          <w:rFonts w:asciiTheme="minorHAnsi" w:eastAsia="Times New Roman" w:hAnsiTheme="minorHAnsi" w:cstheme="minorHAnsi"/>
          <w:smallCaps/>
          <w:color w:val="000000"/>
          <w:szCs w:val="24"/>
          <w:lang w:eastAsia="es-ES"/>
        </w:rPr>
        <w:t>Lanzarot</w:t>
      </w:r>
      <w:proofErr w:type="spellEnd"/>
      <w:r w:rsidRPr="0080490E">
        <w:rPr>
          <w:rFonts w:asciiTheme="minorHAnsi" w:eastAsia="Times New Roman" w:hAnsiTheme="minorHAnsi" w:cstheme="minorHAnsi"/>
          <w:color w:val="000000"/>
          <w:szCs w:val="24"/>
          <w:lang w:eastAsia="es-ES"/>
        </w:rPr>
        <w:t xml:space="preserve">, Ana Isabel, “Perfección del contrato en la </w:t>
      </w:r>
      <w:r w:rsidR="005313DC" w:rsidRPr="0080490E">
        <w:rPr>
          <w:rFonts w:asciiTheme="minorHAnsi" w:eastAsia="Times New Roman" w:hAnsiTheme="minorHAnsi" w:cstheme="minorHAnsi"/>
          <w:color w:val="000000"/>
          <w:szCs w:val="24"/>
          <w:lang w:eastAsia="es-ES"/>
        </w:rPr>
        <w:t>L</w:t>
      </w:r>
      <w:r w:rsidRPr="0080490E">
        <w:rPr>
          <w:rFonts w:asciiTheme="minorHAnsi" w:eastAsia="Times New Roman" w:hAnsiTheme="minorHAnsi" w:cstheme="minorHAnsi"/>
          <w:color w:val="000000"/>
          <w:szCs w:val="24"/>
          <w:lang w:eastAsia="es-ES"/>
        </w:rPr>
        <w:t xml:space="preserve">ey 34/2002, de 11 de julio de servicios de la sociedad de la información y de comercio electrónico: la unificación de criterios”, </w:t>
      </w:r>
      <w:r w:rsidRPr="0080490E">
        <w:rPr>
          <w:rFonts w:asciiTheme="minorHAnsi" w:eastAsia="Times New Roman" w:hAnsiTheme="minorHAnsi" w:cstheme="minorHAnsi"/>
          <w:i/>
          <w:iCs/>
          <w:color w:val="000000"/>
          <w:szCs w:val="24"/>
          <w:lang w:eastAsia="es-ES"/>
        </w:rPr>
        <w:t>Revista de la Contratación Electrónica</w:t>
      </w:r>
      <w:r w:rsidRPr="0080490E">
        <w:rPr>
          <w:rFonts w:asciiTheme="minorHAnsi" w:eastAsia="Times New Roman" w:hAnsiTheme="minorHAnsi" w:cstheme="minorHAnsi"/>
          <w:color w:val="000000"/>
          <w:szCs w:val="24"/>
          <w:lang w:eastAsia="es-ES"/>
        </w:rPr>
        <w:t>, núm. 100, 2009</w:t>
      </w:r>
      <w:r w:rsidRPr="0080490E">
        <w:rPr>
          <w:rFonts w:asciiTheme="minorHAnsi" w:eastAsia="Times New Roman" w:hAnsiTheme="minorHAnsi" w:cstheme="minorHAnsi"/>
          <w:smallCaps/>
          <w:color w:val="000000"/>
          <w:szCs w:val="24"/>
          <w:lang w:eastAsia="es-ES"/>
        </w:rPr>
        <w:t>.</w:t>
      </w:r>
    </w:p>
    <w:p w14:paraId="3FF86D3A" w14:textId="575E6B46" w:rsidR="00E850B2" w:rsidRPr="0080490E" w:rsidRDefault="00AF167C" w:rsidP="0080490E">
      <w:pPr>
        <w:spacing w:after="0" w:line="276" w:lineRule="auto"/>
        <w:ind w:firstLine="0"/>
        <w:rPr>
          <w:rFonts w:asciiTheme="minorHAnsi" w:hAnsiTheme="minorHAnsi" w:cstheme="minorHAnsi"/>
          <w:szCs w:val="20"/>
        </w:rPr>
      </w:pPr>
      <w:r w:rsidRPr="0080490E">
        <w:rPr>
          <w:rFonts w:asciiTheme="minorHAnsi" w:hAnsiTheme="minorHAnsi" w:cstheme="minorHAnsi"/>
          <w:smallCaps/>
          <w:szCs w:val="20"/>
        </w:rPr>
        <w:t>Bueso Guillén</w:t>
      </w:r>
      <w:r w:rsidRPr="0080490E">
        <w:rPr>
          <w:rFonts w:asciiTheme="minorHAnsi" w:hAnsiTheme="minorHAnsi" w:cstheme="minorHAnsi"/>
          <w:szCs w:val="20"/>
        </w:rPr>
        <w:t xml:space="preserve">, Pedro José, “La sociedad anónima cotizada de inversión en el mercado inmobiliario (SOCIMI) como instrumento jurídico-mercantil para una política de fomento del mercado de alquiler de viviendas”, en </w:t>
      </w:r>
      <w:r w:rsidRPr="0080490E">
        <w:rPr>
          <w:rFonts w:asciiTheme="minorHAnsi" w:hAnsiTheme="minorHAnsi" w:cstheme="minorHAnsi"/>
          <w:smallCaps/>
          <w:szCs w:val="20"/>
        </w:rPr>
        <w:t>Alonso Pérez</w:t>
      </w:r>
      <w:r w:rsidRPr="0080490E">
        <w:rPr>
          <w:rFonts w:asciiTheme="minorHAnsi" w:hAnsiTheme="minorHAnsi" w:cstheme="minorHAnsi"/>
          <w:szCs w:val="20"/>
        </w:rPr>
        <w:t xml:space="preserve">, María Teresa (dir.), </w:t>
      </w:r>
      <w:r w:rsidRPr="0080490E">
        <w:rPr>
          <w:rFonts w:asciiTheme="minorHAnsi" w:hAnsiTheme="minorHAnsi" w:cstheme="minorHAnsi"/>
          <w:i/>
          <w:iCs/>
          <w:szCs w:val="20"/>
        </w:rPr>
        <w:t>Nuevas vías jurídicas de acceso a la vivienda</w:t>
      </w:r>
      <w:r w:rsidRPr="0080490E">
        <w:rPr>
          <w:rFonts w:asciiTheme="minorHAnsi" w:hAnsiTheme="minorHAnsi" w:cstheme="minorHAnsi"/>
          <w:szCs w:val="20"/>
        </w:rPr>
        <w:t>, Aranzadi</w:t>
      </w:r>
      <w:r w:rsidR="00F31F67" w:rsidRPr="0080490E">
        <w:rPr>
          <w:rFonts w:asciiTheme="minorHAnsi" w:hAnsiTheme="minorHAnsi" w:cstheme="minorHAnsi"/>
          <w:szCs w:val="20"/>
        </w:rPr>
        <w:t>,</w:t>
      </w:r>
      <w:r w:rsidRPr="0080490E">
        <w:rPr>
          <w:rFonts w:asciiTheme="minorHAnsi" w:hAnsiTheme="minorHAnsi" w:cstheme="minorHAnsi"/>
          <w:szCs w:val="20"/>
        </w:rPr>
        <w:t xml:space="preserve"> Cizur Menor, 2018.</w:t>
      </w:r>
    </w:p>
    <w:p w14:paraId="3FBB5EA7" w14:textId="197725F3" w:rsidR="00AF167C" w:rsidRPr="0080490E" w:rsidRDefault="00AF167C"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Carrasco Perera</w:t>
      </w:r>
      <w:r w:rsidRPr="0080490E">
        <w:rPr>
          <w:rFonts w:asciiTheme="minorHAnsi" w:eastAsia="Times New Roman" w:hAnsiTheme="minorHAnsi" w:cstheme="minorHAnsi"/>
          <w:color w:val="000000"/>
          <w:szCs w:val="24"/>
          <w:lang w:eastAsia="es-ES"/>
        </w:rPr>
        <w:t xml:space="preserve">, Ángel “Proyecto de Ley de fomento de la financiación empresarial: la financiación participativa a través de plataformas de crowdfunding, </w:t>
      </w:r>
      <w:r w:rsidRPr="0080490E">
        <w:rPr>
          <w:rFonts w:asciiTheme="minorHAnsi" w:eastAsia="Times New Roman" w:hAnsiTheme="minorHAnsi" w:cstheme="minorHAnsi"/>
          <w:i/>
          <w:iCs/>
          <w:color w:val="000000"/>
          <w:szCs w:val="24"/>
          <w:lang w:eastAsia="es-ES"/>
        </w:rPr>
        <w:t>Revista CESCO de Derecho de Consumo</w:t>
      </w:r>
      <w:r w:rsidRPr="0080490E">
        <w:rPr>
          <w:rFonts w:asciiTheme="minorHAnsi" w:eastAsia="Times New Roman" w:hAnsiTheme="minorHAnsi" w:cstheme="minorHAnsi"/>
          <w:color w:val="000000"/>
          <w:szCs w:val="24"/>
          <w:lang w:eastAsia="es-ES"/>
        </w:rPr>
        <w:t>, núm. 12, 2014.</w:t>
      </w:r>
    </w:p>
    <w:p w14:paraId="7947C90F" w14:textId="77777777" w:rsidR="00AF167C" w:rsidRPr="0080490E" w:rsidRDefault="00AF167C"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Castellanos Ruiz</w:t>
      </w:r>
      <w:r w:rsidRPr="0080490E">
        <w:rPr>
          <w:rFonts w:asciiTheme="minorHAnsi" w:eastAsia="Times New Roman" w:hAnsiTheme="minorHAnsi" w:cstheme="minorHAnsi"/>
          <w:color w:val="000000"/>
          <w:szCs w:val="24"/>
          <w:lang w:eastAsia="es-ES"/>
        </w:rPr>
        <w:t xml:space="preserve">, Esperanza, “Las normas de Derecho internacional privado sobre consumidores en la Ley 34/2002 de Servicios de la Sociedad de la Información y de Comercio Electrónico”, </w:t>
      </w:r>
      <w:r w:rsidRPr="0080490E">
        <w:rPr>
          <w:rFonts w:asciiTheme="minorHAnsi" w:eastAsia="Times New Roman" w:hAnsiTheme="minorHAnsi" w:cstheme="minorHAnsi"/>
          <w:i/>
          <w:iCs/>
          <w:color w:val="000000"/>
          <w:szCs w:val="24"/>
          <w:lang w:eastAsia="es-ES"/>
        </w:rPr>
        <w:t>Cuadernos de Derecho Transnacional</w:t>
      </w:r>
      <w:r w:rsidRPr="0080490E">
        <w:rPr>
          <w:rFonts w:asciiTheme="minorHAnsi" w:eastAsia="Times New Roman" w:hAnsiTheme="minorHAnsi" w:cstheme="minorHAnsi"/>
          <w:color w:val="000000"/>
          <w:szCs w:val="24"/>
          <w:lang w:eastAsia="es-ES"/>
        </w:rPr>
        <w:t>, vol. 1, núm. 2, 2009.</w:t>
      </w:r>
    </w:p>
    <w:p w14:paraId="6E3E7F48" w14:textId="7594A2F6" w:rsidR="00106094" w:rsidRPr="0080490E" w:rsidRDefault="00106094"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Castillo Iborra</w:t>
      </w:r>
      <w:r w:rsidRPr="0080490E">
        <w:rPr>
          <w:rFonts w:asciiTheme="minorHAnsi" w:eastAsia="Times New Roman" w:hAnsiTheme="minorHAnsi" w:cstheme="minorHAnsi"/>
          <w:color w:val="000000"/>
          <w:szCs w:val="24"/>
          <w:lang w:eastAsia="es-ES"/>
        </w:rPr>
        <w:t xml:space="preserve">, Francisco, “Aproximación al préstamo participativo y análisis de su jurisprudencia”, en </w:t>
      </w:r>
      <w:r w:rsidRPr="0080490E">
        <w:rPr>
          <w:rFonts w:asciiTheme="minorHAnsi" w:eastAsia="Times New Roman" w:hAnsiTheme="minorHAnsi" w:cstheme="minorHAnsi"/>
          <w:smallCaps/>
          <w:color w:val="000000"/>
          <w:szCs w:val="24"/>
          <w:lang w:eastAsia="es-ES"/>
        </w:rPr>
        <w:t>González Castilla</w:t>
      </w:r>
      <w:r w:rsidRPr="0080490E">
        <w:rPr>
          <w:rFonts w:asciiTheme="minorHAnsi" w:eastAsia="Times New Roman" w:hAnsiTheme="minorHAnsi" w:cstheme="minorHAnsi"/>
          <w:color w:val="000000"/>
          <w:szCs w:val="24"/>
          <w:lang w:eastAsia="es-ES"/>
        </w:rPr>
        <w:t>, Francisco/</w:t>
      </w:r>
      <w:r w:rsidRPr="0080490E">
        <w:rPr>
          <w:rFonts w:asciiTheme="minorHAnsi" w:eastAsia="Times New Roman" w:hAnsiTheme="minorHAnsi" w:cstheme="minorHAnsi"/>
          <w:smallCaps/>
          <w:color w:val="000000"/>
          <w:szCs w:val="24"/>
          <w:lang w:eastAsia="es-ES"/>
        </w:rPr>
        <w:t>Nieto Carol</w:t>
      </w:r>
      <w:r w:rsidRPr="0080490E">
        <w:rPr>
          <w:rFonts w:asciiTheme="minorHAnsi" w:eastAsia="Times New Roman" w:hAnsiTheme="minorHAnsi" w:cstheme="minorHAnsi"/>
          <w:color w:val="000000"/>
          <w:szCs w:val="24"/>
          <w:lang w:eastAsia="es-ES"/>
        </w:rPr>
        <w:t xml:space="preserve">, Ubaldo (dirs.), </w:t>
      </w:r>
      <w:r w:rsidRPr="0080490E">
        <w:rPr>
          <w:rFonts w:asciiTheme="minorHAnsi" w:eastAsia="Times New Roman" w:hAnsiTheme="minorHAnsi" w:cstheme="minorHAnsi"/>
          <w:i/>
          <w:iCs/>
          <w:color w:val="000000"/>
          <w:szCs w:val="24"/>
          <w:lang w:eastAsia="es-ES"/>
        </w:rPr>
        <w:t xml:space="preserve">Contratación </w:t>
      </w:r>
      <w:r w:rsidR="0093012D" w:rsidRPr="0080490E">
        <w:rPr>
          <w:rFonts w:asciiTheme="minorHAnsi" w:eastAsia="Times New Roman" w:hAnsiTheme="minorHAnsi" w:cstheme="minorHAnsi"/>
          <w:i/>
          <w:iCs/>
          <w:color w:val="000000"/>
          <w:szCs w:val="24"/>
          <w:lang w:eastAsia="es-ES"/>
        </w:rPr>
        <w:t xml:space="preserve">Empresarial </w:t>
      </w:r>
      <w:r w:rsidRPr="0080490E">
        <w:rPr>
          <w:rFonts w:asciiTheme="minorHAnsi" w:eastAsia="Times New Roman" w:hAnsiTheme="minorHAnsi" w:cstheme="minorHAnsi"/>
          <w:i/>
          <w:iCs/>
          <w:color w:val="000000"/>
          <w:szCs w:val="24"/>
          <w:lang w:eastAsia="es-ES"/>
        </w:rPr>
        <w:t xml:space="preserve">y Derecho </w:t>
      </w:r>
      <w:r w:rsidR="0093012D" w:rsidRPr="0080490E">
        <w:rPr>
          <w:rFonts w:asciiTheme="minorHAnsi" w:eastAsia="Times New Roman" w:hAnsiTheme="minorHAnsi" w:cstheme="minorHAnsi"/>
          <w:i/>
          <w:iCs/>
          <w:color w:val="000000"/>
          <w:szCs w:val="24"/>
          <w:lang w:eastAsia="es-ES"/>
        </w:rPr>
        <w:t>Privado</w:t>
      </w:r>
      <w:r w:rsidRPr="0080490E">
        <w:rPr>
          <w:rFonts w:asciiTheme="minorHAnsi" w:eastAsia="Times New Roman" w:hAnsiTheme="minorHAnsi" w:cstheme="minorHAnsi"/>
          <w:color w:val="000000"/>
          <w:szCs w:val="24"/>
          <w:lang w:eastAsia="es-ES"/>
        </w:rPr>
        <w:t>, Tirant lo Blanch, Valencia, 2023.</w:t>
      </w:r>
    </w:p>
    <w:p w14:paraId="2574913F" w14:textId="6504AC71" w:rsidR="00F2170D" w:rsidRPr="0080490E" w:rsidRDefault="00F2170D" w:rsidP="0080490E">
      <w:pPr>
        <w:spacing w:after="0" w:line="276" w:lineRule="auto"/>
        <w:ind w:firstLine="0"/>
        <w:rPr>
          <w:rFonts w:asciiTheme="minorHAnsi" w:eastAsia="Times New Roman" w:hAnsiTheme="minorHAnsi" w:cstheme="minorHAnsi"/>
          <w:smallCaps/>
          <w:color w:val="000000"/>
          <w:szCs w:val="24"/>
          <w:lang w:eastAsia="es-ES"/>
        </w:rPr>
      </w:pPr>
      <w:r w:rsidRPr="0080490E">
        <w:rPr>
          <w:rFonts w:asciiTheme="minorHAnsi" w:hAnsiTheme="minorHAnsi" w:cstheme="minorHAnsi"/>
          <w:smallCaps/>
          <w:szCs w:val="20"/>
        </w:rPr>
        <w:t xml:space="preserve">Clemente </w:t>
      </w:r>
      <w:proofErr w:type="spellStart"/>
      <w:r w:rsidRPr="0080490E">
        <w:rPr>
          <w:rFonts w:asciiTheme="minorHAnsi" w:hAnsiTheme="minorHAnsi" w:cstheme="minorHAnsi"/>
          <w:smallCaps/>
          <w:szCs w:val="20"/>
        </w:rPr>
        <w:t>Clemente</w:t>
      </w:r>
      <w:proofErr w:type="spellEnd"/>
      <w:r w:rsidRPr="0080490E">
        <w:rPr>
          <w:rFonts w:asciiTheme="minorHAnsi" w:hAnsiTheme="minorHAnsi" w:cstheme="minorHAnsi"/>
          <w:szCs w:val="20"/>
        </w:rPr>
        <w:t xml:space="preserve">, Vicente, “El contrato de cuenta en participación: renacimiento de una vieja institución”, </w:t>
      </w:r>
      <w:r w:rsidRPr="0080490E">
        <w:rPr>
          <w:rFonts w:asciiTheme="minorHAnsi" w:hAnsiTheme="minorHAnsi" w:cstheme="minorHAnsi"/>
          <w:i/>
          <w:iCs/>
          <w:szCs w:val="20"/>
        </w:rPr>
        <w:t>Revista Aranzadi Doctrinal</w:t>
      </w:r>
      <w:r w:rsidRPr="0080490E">
        <w:rPr>
          <w:rFonts w:asciiTheme="minorHAnsi" w:hAnsiTheme="minorHAnsi" w:cstheme="minorHAnsi"/>
          <w:szCs w:val="20"/>
        </w:rPr>
        <w:t>, núm. 9, 2011.</w:t>
      </w:r>
    </w:p>
    <w:p w14:paraId="47B92954" w14:textId="2E0F8BD7" w:rsidR="00523F08" w:rsidRPr="0080490E" w:rsidRDefault="00523F08"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Colino Mediavilla</w:t>
      </w:r>
      <w:r w:rsidR="002A0D90" w:rsidRPr="0080490E">
        <w:rPr>
          <w:rFonts w:asciiTheme="minorHAnsi" w:eastAsia="Times New Roman" w:hAnsiTheme="minorHAnsi" w:cstheme="minorHAnsi"/>
          <w:smallCaps/>
          <w:color w:val="000000"/>
          <w:szCs w:val="24"/>
          <w:lang w:eastAsia="es-ES"/>
        </w:rPr>
        <w:t>,</w:t>
      </w:r>
      <w:r w:rsidRPr="0080490E">
        <w:rPr>
          <w:rFonts w:asciiTheme="minorHAnsi" w:eastAsia="Times New Roman" w:hAnsiTheme="minorHAnsi" w:cstheme="minorHAnsi"/>
          <w:color w:val="000000"/>
          <w:szCs w:val="24"/>
          <w:lang w:eastAsia="es-ES"/>
        </w:rPr>
        <w:t xml:space="preserve"> José Luis/</w:t>
      </w:r>
      <w:r w:rsidRPr="0080490E">
        <w:rPr>
          <w:rFonts w:asciiTheme="minorHAnsi" w:eastAsia="Times New Roman" w:hAnsiTheme="minorHAnsi" w:cstheme="minorHAnsi"/>
          <w:smallCaps/>
          <w:color w:val="000000"/>
          <w:szCs w:val="24"/>
          <w:lang w:eastAsia="es-ES"/>
        </w:rPr>
        <w:t>Hernán Carrillo</w:t>
      </w:r>
      <w:r w:rsidRPr="0080490E">
        <w:rPr>
          <w:rFonts w:asciiTheme="minorHAnsi" w:eastAsia="Times New Roman" w:hAnsiTheme="minorHAnsi" w:cstheme="minorHAnsi"/>
          <w:color w:val="000000"/>
          <w:szCs w:val="24"/>
          <w:lang w:eastAsia="es-ES"/>
        </w:rPr>
        <w:t xml:space="preserve">, Víctor, “Créditos y préstamos participativos”, en </w:t>
      </w:r>
      <w:proofErr w:type="spellStart"/>
      <w:r w:rsidRPr="0080490E">
        <w:rPr>
          <w:rFonts w:asciiTheme="minorHAnsi" w:eastAsia="Times New Roman" w:hAnsiTheme="minorHAnsi" w:cstheme="minorHAnsi"/>
          <w:smallCaps/>
          <w:color w:val="000000"/>
          <w:szCs w:val="24"/>
          <w:lang w:eastAsia="es-ES"/>
        </w:rPr>
        <w:t>Yzquierdo</w:t>
      </w:r>
      <w:proofErr w:type="spellEnd"/>
      <w:r w:rsidRPr="0080490E">
        <w:rPr>
          <w:rFonts w:asciiTheme="minorHAnsi" w:eastAsia="Times New Roman" w:hAnsiTheme="minorHAnsi" w:cstheme="minorHAnsi"/>
          <w:smallCaps/>
          <w:color w:val="000000"/>
          <w:szCs w:val="24"/>
          <w:lang w:eastAsia="es-ES"/>
        </w:rPr>
        <w:t xml:space="preserve"> </w:t>
      </w:r>
      <w:proofErr w:type="spellStart"/>
      <w:r w:rsidRPr="0080490E">
        <w:rPr>
          <w:rFonts w:asciiTheme="minorHAnsi" w:eastAsia="Times New Roman" w:hAnsiTheme="minorHAnsi" w:cstheme="minorHAnsi"/>
          <w:smallCaps/>
          <w:color w:val="000000"/>
          <w:szCs w:val="24"/>
          <w:lang w:eastAsia="es-ES"/>
        </w:rPr>
        <w:t>Tolsada</w:t>
      </w:r>
      <w:proofErr w:type="spellEnd"/>
      <w:r w:rsidRPr="0080490E">
        <w:rPr>
          <w:rFonts w:asciiTheme="minorHAnsi" w:eastAsia="Times New Roman" w:hAnsiTheme="minorHAnsi" w:cstheme="minorHAnsi"/>
          <w:color w:val="000000"/>
          <w:szCs w:val="24"/>
          <w:lang w:eastAsia="es-ES"/>
        </w:rPr>
        <w:t xml:space="preserve">, Mariano (dir.), </w:t>
      </w:r>
      <w:r w:rsidRPr="0080490E">
        <w:rPr>
          <w:rFonts w:asciiTheme="minorHAnsi" w:eastAsia="Times New Roman" w:hAnsiTheme="minorHAnsi" w:cstheme="minorHAnsi"/>
          <w:i/>
          <w:iCs/>
          <w:color w:val="000000"/>
          <w:szCs w:val="24"/>
          <w:lang w:eastAsia="es-ES"/>
        </w:rPr>
        <w:t>Contratos</w:t>
      </w:r>
      <w:r w:rsidRPr="0080490E">
        <w:rPr>
          <w:rFonts w:asciiTheme="minorHAnsi" w:eastAsia="Times New Roman" w:hAnsiTheme="minorHAnsi" w:cstheme="minorHAnsi"/>
          <w:color w:val="000000"/>
          <w:szCs w:val="24"/>
          <w:lang w:eastAsia="es-ES"/>
        </w:rPr>
        <w:t>, tomo IX, Aranzadi</w:t>
      </w:r>
      <w:r w:rsidR="00F31F67" w:rsidRPr="0080490E">
        <w:rPr>
          <w:rFonts w:asciiTheme="minorHAnsi" w:eastAsia="Times New Roman" w:hAnsiTheme="minorHAnsi" w:cstheme="minorHAnsi"/>
          <w:color w:val="000000"/>
          <w:szCs w:val="24"/>
          <w:lang w:eastAsia="es-ES"/>
        </w:rPr>
        <w:t>,</w:t>
      </w:r>
      <w:r w:rsidRPr="0080490E">
        <w:rPr>
          <w:rFonts w:asciiTheme="minorHAnsi" w:eastAsia="Times New Roman" w:hAnsiTheme="minorHAnsi" w:cstheme="minorHAnsi"/>
          <w:color w:val="000000"/>
          <w:szCs w:val="24"/>
          <w:lang w:eastAsia="es-ES"/>
        </w:rPr>
        <w:t xml:space="preserve"> Cizur Menor, 2014</w:t>
      </w:r>
      <w:r w:rsidR="00F31F67" w:rsidRPr="0080490E">
        <w:rPr>
          <w:rFonts w:asciiTheme="minorHAnsi" w:eastAsia="Times New Roman" w:hAnsiTheme="minorHAnsi" w:cstheme="minorHAnsi"/>
          <w:color w:val="000000"/>
          <w:szCs w:val="24"/>
          <w:lang w:eastAsia="es-ES"/>
        </w:rPr>
        <w:t>.</w:t>
      </w:r>
    </w:p>
    <w:p w14:paraId="4424467E" w14:textId="129AF26E" w:rsidR="00523F08" w:rsidRPr="0080490E" w:rsidRDefault="00523F08"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lastRenderedPageBreak/>
        <w:t>Colino Mediavilla</w:t>
      </w:r>
      <w:r w:rsidRPr="0080490E">
        <w:rPr>
          <w:rFonts w:asciiTheme="minorHAnsi" w:eastAsia="Times New Roman" w:hAnsiTheme="minorHAnsi" w:cstheme="minorHAnsi"/>
          <w:color w:val="000000"/>
          <w:szCs w:val="24"/>
          <w:lang w:eastAsia="es-ES"/>
        </w:rPr>
        <w:t xml:space="preserve">, José Luis, “Los créditos participativos son necesariamente subordinados por pacto contractual”, </w:t>
      </w:r>
      <w:r w:rsidRPr="0080490E">
        <w:rPr>
          <w:rFonts w:asciiTheme="minorHAnsi" w:eastAsia="Times New Roman" w:hAnsiTheme="minorHAnsi" w:cstheme="minorHAnsi"/>
          <w:i/>
          <w:iCs/>
          <w:color w:val="000000"/>
          <w:szCs w:val="24"/>
          <w:lang w:eastAsia="es-ES"/>
        </w:rPr>
        <w:t>Revista de Derecho Bancario y Bursátil</w:t>
      </w:r>
      <w:r w:rsidRPr="0080490E">
        <w:rPr>
          <w:rFonts w:asciiTheme="minorHAnsi" w:eastAsia="Times New Roman" w:hAnsiTheme="minorHAnsi" w:cstheme="minorHAnsi"/>
          <w:color w:val="000000"/>
          <w:szCs w:val="24"/>
          <w:lang w:eastAsia="es-ES"/>
        </w:rPr>
        <w:t>, núm. 143, 2021</w:t>
      </w:r>
      <w:r w:rsidR="006F5689" w:rsidRPr="0080490E">
        <w:rPr>
          <w:rFonts w:asciiTheme="minorHAnsi" w:eastAsia="Times New Roman" w:hAnsiTheme="minorHAnsi" w:cstheme="minorHAnsi"/>
          <w:color w:val="000000"/>
          <w:szCs w:val="24"/>
          <w:lang w:eastAsia="es-ES"/>
        </w:rPr>
        <w:t>.</w:t>
      </w:r>
    </w:p>
    <w:p w14:paraId="0E046A6C" w14:textId="3EA5F89E" w:rsidR="00523F08" w:rsidRPr="0080490E" w:rsidRDefault="00523F08" w:rsidP="0080490E">
      <w:pPr>
        <w:spacing w:after="0" w:line="276" w:lineRule="auto"/>
        <w:ind w:firstLine="0"/>
        <w:rPr>
          <w:rFonts w:asciiTheme="minorHAnsi" w:eastAsia="Times New Roman" w:hAnsiTheme="minorHAnsi" w:cstheme="minorHAnsi"/>
          <w:color w:val="000000"/>
          <w:szCs w:val="24"/>
          <w:lang w:eastAsia="es-ES"/>
        </w:rPr>
      </w:pPr>
      <w:proofErr w:type="spellStart"/>
      <w:r w:rsidRPr="0080490E">
        <w:rPr>
          <w:rFonts w:asciiTheme="minorHAnsi" w:eastAsia="Times New Roman" w:hAnsiTheme="minorHAnsi" w:cstheme="minorHAnsi"/>
          <w:smallCaps/>
          <w:color w:val="000000"/>
          <w:szCs w:val="24"/>
          <w:lang w:eastAsia="es-ES"/>
        </w:rPr>
        <w:t>Cuena</w:t>
      </w:r>
      <w:proofErr w:type="spellEnd"/>
      <w:r w:rsidRPr="0080490E">
        <w:rPr>
          <w:rFonts w:asciiTheme="minorHAnsi" w:eastAsia="Times New Roman" w:hAnsiTheme="minorHAnsi" w:cstheme="minorHAnsi"/>
          <w:smallCaps/>
          <w:color w:val="000000"/>
          <w:szCs w:val="24"/>
          <w:lang w:eastAsia="es-ES"/>
        </w:rPr>
        <w:t xml:space="preserve"> Casas</w:t>
      </w:r>
      <w:r w:rsidRPr="0080490E">
        <w:rPr>
          <w:rFonts w:asciiTheme="minorHAnsi" w:eastAsia="Times New Roman" w:hAnsiTheme="minorHAnsi" w:cstheme="minorHAnsi"/>
          <w:color w:val="000000"/>
          <w:szCs w:val="24"/>
          <w:lang w:eastAsia="es-ES"/>
        </w:rPr>
        <w:t>, Matilde</w:t>
      </w:r>
      <w:r w:rsidR="006F5689" w:rsidRPr="0080490E">
        <w:rPr>
          <w:rFonts w:asciiTheme="minorHAnsi" w:eastAsia="Times New Roman" w:hAnsiTheme="minorHAnsi" w:cstheme="minorHAnsi"/>
          <w:color w:val="000000"/>
          <w:szCs w:val="24"/>
          <w:lang w:eastAsia="es-ES"/>
        </w:rPr>
        <w:t>,</w:t>
      </w:r>
      <w:r w:rsidRPr="0080490E">
        <w:rPr>
          <w:rFonts w:asciiTheme="minorHAnsi" w:eastAsia="Times New Roman" w:hAnsiTheme="minorHAnsi" w:cstheme="minorHAnsi"/>
          <w:color w:val="000000"/>
          <w:szCs w:val="24"/>
          <w:lang w:eastAsia="es-ES"/>
        </w:rPr>
        <w:t xml:space="preserve"> “Régimen jurídico del crowdlending o préstamo en masa en el Derecho Español”, en </w:t>
      </w:r>
      <w:proofErr w:type="spellStart"/>
      <w:r w:rsidRPr="0080490E">
        <w:rPr>
          <w:rFonts w:asciiTheme="minorHAnsi" w:eastAsia="Times New Roman" w:hAnsiTheme="minorHAnsi" w:cstheme="minorHAnsi"/>
          <w:smallCaps/>
          <w:color w:val="000000"/>
          <w:szCs w:val="24"/>
          <w:lang w:eastAsia="es-ES"/>
        </w:rPr>
        <w:t>Cuena</w:t>
      </w:r>
      <w:proofErr w:type="spellEnd"/>
      <w:r w:rsidRPr="0080490E">
        <w:rPr>
          <w:rFonts w:asciiTheme="minorHAnsi" w:eastAsia="Times New Roman" w:hAnsiTheme="minorHAnsi" w:cstheme="minorHAnsi"/>
          <w:smallCaps/>
          <w:color w:val="000000"/>
          <w:szCs w:val="24"/>
          <w:lang w:eastAsia="es-ES"/>
        </w:rPr>
        <w:t xml:space="preserve"> Casas</w:t>
      </w:r>
      <w:r w:rsidRPr="0080490E">
        <w:rPr>
          <w:rFonts w:asciiTheme="minorHAnsi" w:eastAsia="Times New Roman" w:hAnsiTheme="minorHAnsi" w:cstheme="minorHAnsi"/>
          <w:color w:val="000000"/>
          <w:szCs w:val="24"/>
          <w:lang w:eastAsia="es-ES"/>
        </w:rPr>
        <w:t>, Matilde/</w:t>
      </w:r>
      <w:r w:rsidRPr="0080490E">
        <w:rPr>
          <w:rFonts w:asciiTheme="minorHAnsi" w:eastAsia="Times New Roman" w:hAnsiTheme="minorHAnsi" w:cstheme="minorHAnsi"/>
          <w:smallCaps/>
          <w:color w:val="000000"/>
          <w:szCs w:val="24"/>
          <w:lang w:eastAsia="es-ES"/>
        </w:rPr>
        <w:t>Ibáñez Jiménez</w:t>
      </w:r>
      <w:r w:rsidRPr="0080490E">
        <w:rPr>
          <w:rFonts w:asciiTheme="minorHAnsi" w:eastAsia="Times New Roman" w:hAnsiTheme="minorHAnsi" w:cstheme="minorHAnsi"/>
          <w:color w:val="000000"/>
          <w:szCs w:val="24"/>
          <w:lang w:eastAsia="es-ES"/>
        </w:rPr>
        <w:t xml:space="preserve">, Javier (dirs.), </w:t>
      </w:r>
      <w:r w:rsidRPr="0080490E">
        <w:rPr>
          <w:rFonts w:asciiTheme="minorHAnsi" w:eastAsia="Times New Roman" w:hAnsiTheme="minorHAnsi" w:cstheme="minorHAnsi"/>
          <w:i/>
          <w:iCs/>
          <w:color w:val="000000"/>
          <w:szCs w:val="24"/>
          <w:lang w:eastAsia="es-ES"/>
        </w:rPr>
        <w:t xml:space="preserve">Perspectiva legal y económica del fenómeno </w:t>
      </w:r>
      <w:proofErr w:type="spellStart"/>
      <w:r w:rsidRPr="0080490E">
        <w:rPr>
          <w:rFonts w:asciiTheme="minorHAnsi" w:eastAsia="Times New Roman" w:hAnsiTheme="minorHAnsi" w:cstheme="minorHAnsi"/>
          <w:i/>
          <w:iCs/>
          <w:color w:val="000000"/>
          <w:szCs w:val="24"/>
          <w:lang w:eastAsia="es-ES"/>
        </w:rPr>
        <w:t>FinTech</w:t>
      </w:r>
      <w:proofErr w:type="spellEnd"/>
      <w:r w:rsidRPr="0080490E">
        <w:rPr>
          <w:rFonts w:asciiTheme="minorHAnsi" w:eastAsia="Times New Roman" w:hAnsiTheme="minorHAnsi" w:cstheme="minorHAnsi"/>
          <w:color w:val="000000"/>
          <w:szCs w:val="24"/>
          <w:lang w:eastAsia="es-ES"/>
        </w:rPr>
        <w:t xml:space="preserve">, Wolters </w:t>
      </w:r>
      <w:proofErr w:type="spellStart"/>
      <w:r w:rsidRPr="0080490E">
        <w:rPr>
          <w:rFonts w:asciiTheme="minorHAnsi" w:eastAsia="Times New Roman" w:hAnsiTheme="minorHAnsi" w:cstheme="minorHAnsi"/>
          <w:color w:val="000000"/>
          <w:szCs w:val="24"/>
          <w:lang w:eastAsia="es-ES"/>
        </w:rPr>
        <w:t>Kluwer</w:t>
      </w:r>
      <w:proofErr w:type="spellEnd"/>
      <w:r w:rsidRPr="0080490E">
        <w:rPr>
          <w:rFonts w:asciiTheme="minorHAnsi" w:eastAsia="Times New Roman" w:hAnsiTheme="minorHAnsi" w:cstheme="minorHAnsi"/>
          <w:color w:val="000000"/>
          <w:szCs w:val="24"/>
          <w:lang w:eastAsia="es-ES"/>
        </w:rPr>
        <w:t>, Madrid, 2021.</w:t>
      </w:r>
    </w:p>
    <w:p w14:paraId="3BDA8A57" w14:textId="3DB19481" w:rsidR="006F5689" w:rsidRPr="0080490E" w:rsidRDefault="00F95A4C"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D</w:t>
      </w:r>
      <w:r w:rsidR="006F5689" w:rsidRPr="0080490E">
        <w:rPr>
          <w:rFonts w:asciiTheme="minorHAnsi" w:eastAsia="Times New Roman" w:hAnsiTheme="minorHAnsi" w:cstheme="minorHAnsi"/>
          <w:smallCaps/>
          <w:color w:val="000000"/>
          <w:szCs w:val="24"/>
          <w:lang w:eastAsia="es-ES"/>
        </w:rPr>
        <w:t>e Goñi Barbarin</w:t>
      </w:r>
      <w:r w:rsidR="006F5689" w:rsidRPr="0080490E">
        <w:rPr>
          <w:rFonts w:asciiTheme="minorHAnsi" w:eastAsia="Times New Roman" w:hAnsiTheme="minorHAnsi" w:cstheme="minorHAnsi"/>
          <w:color w:val="000000"/>
          <w:szCs w:val="24"/>
          <w:lang w:eastAsia="es-ES"/>
        </w:rPr>
        <w:t xml:space="preserve">, María, “Servicios de intermediación contractual prestados por plataformas digitales: la financiación participativa a través de préstamos”, </w:t>
      </w:r>
      <w:r w:rsidR="006F5689" w:rsidRPr="0080490E">
        <w:rPr>
          <w:rFonts w:asciiTheme="minorHAnsi" w:eastAsia="Times New Roman" w:hAnsiTheme="minorHAnsi" w:cstheme="minorHAnsi"/>
          <w:i/>
          <w:iCs/>
          <w:color w:val="000000"/>
          <w:szCs w:val="24"/>
          <w:lang w:eastAsia="es-ES"/>
        </w:rPr>
        <w:t>Revista Crítica de Derecho Inmobiliario</w:t>
      </w:r>
      <w:r w:rsidR="006F5689" w:rsidRPr="0080490E">
        <w:rPr>
          <w:rFonts w:asciiTheme="minorHAnsi" w:eastAsia="Times New Roman" w:hAnsiTheme="minorHAnsi" w:cstheme="minorHAnsi"/>
          <w:color w:val="000000"/>
          <w:szCs w:val="24"/>
          <w:lang w:eastAsia="es-ES"/>
        </w:rPr>
        <w:t>, núm. 800, 2023</w:t>
      </w:r>
      <w:r w:rsidR="00186DB0" w:rsidRPr="0080490E">
        <w:rPr>
          <w:rFonts w:asciiTheme="minorHAnsi" w:eastAsia="Times New Roman" w:hAnsiTheme="minorHAnsi" w:cstheme="minorHAnsi"/>
          <w:color w:val="000000"/>
          <w:szCs w:val="24"/>
          <w:lang w:eastAsia="es-ES"/>
        </w:rPr>
        <w:t>.</w:t>
      </w:r>
    </w:p>
    <w:p w14:paraId="7D525FB0" w14:textId="70FF0857" w:rsidR="006F5689" w:rsidRPr="0080490E" w:rsidRDefault="006F5689"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Díez Soto</w:t>
      </w:r>
      <w:r w:rsidRPr="0080490E">
        <w:rPr>
          <w:rFonts w:asciiTheme="minorHAnsi" w:eastAsia="Times New Roman" w:hAnsiTheme="minorHAnsi" w:cstheme="minorHAnsi"/>
          <w:color w:val="000000"/>
          <w:szCs w:val="24"/>
          <w:lang w:eastAsia="es-ES"/>
        </w:rPr>
        <w:t xml:space="preserve">, Carlos Manuel, “La incidencia del derecho de consumo en el </w:t>
      </w:r>
      <w:r w:rsidRPr="0080490E">
        <w:rPr>
          <w:rFonts w:asciiTheme="minorHAnsi" w:eastAsia="Times New Roman" w:hAnsiTheme="minorHAnsi" w:cstheme="minorHAnsi"/>
          <w:i/>
          <w:iCs/>
          <w:color w:val="000000"/>
          <w:szCs w:val="24"/>
          <w:lang w:eastAsia="es-ES"/>
        </w:rPr>
        <w:t>crowdfunding</w:t>
      </w:r>
      <w:r w:rsidRPr="0080490E">
        <w:rPr>
          <w:rFonts w:asciiTheme="minorHAnsi" w:eastAsia="Times New Roman" w:hAnsiTheme="minorHAnsi" w:cstheme="minorHAnsi"/>
          <w:color w:val="000000"/>
          <w:szCs w:val="24"/>
          <w:lang w:eastAsia="es-ES"/>
        </w:rPr>
        <w:t xml:space="preserve"> financiero”, </w:t>
      </w:r>
      <w:r w:rsidRPr="0080490E">
        <w:rPr>
          <w:rFonts w:asciiTheme="minorHAnsi" w:eastAsia="Times New Roman" w:hAnsiTheme="minorHAnsi" w:cstheme="minorHAnsi"/>
          <w:i/>
          <w:iCs/>
          <w:color w:val="000000"/>
          <w:szCs w:val="24"/>
          <w:lang w:eastAsia="es-ES"/>
        </w:rPr>
        <w:t>Cuadernos de Derecho Transnacional</w:t>
      </w:r>
      <w:r w:rsidRPr="0080490E">
        <w:rPr>
          <w:rFonts w:asciiTheme="minorHAnsi" w:eastAsia="Times New Roman" w:hAnsiTheme="minorHAnsi" w:cstheme="minorHAnsi"/>
          <w:color w:val="000000"/>
          <w:szCs w:val="24"/>
          <w:lang w:eastAsia="es-ES"/>
        </w:rPr>
        <w:t>, vol. 15, núm. 1, 2023.</w:t>
      </w:r>
    </w:p>
    <w:p w14:paraId="51860E85" w14:textId="78090851" w:rsidR="00F95A4C" w:rsidRPr="0080490E" w:rsidRDefault="00F95A4C"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Foz Giralt</w:t>
      </w:r>
      <w:r w:rsidRPr="0080490E">
        <w:rPr>
          <w:rFonts w:asciiTheme="minorHAnsi" w:eastAsia="Times New Roman" w:hAnsiTheme="minorHAnsi" w:cstheme="minorHAnsi"/>
          <w:color w:val="000000"/>
          <w:szCs w:val="24"/>
          <w:lang w:eastAsia="es-ES"/>
        </w:rPr>
        <w:t xml:space="preserve">, Xavier, “Criptomonedas o criptoactivos distribuidos nativos. Monedas estables y criptomonedas de curso legal. Tokens sobre derechos preexistentes: </w:t>
      </w:r>
      <w:proofErr w:type="spellStart"/>
      <w:r w:rsidRPr="0080490E">
        <w:rPr>
          <w:rFonts w:asciiTheme="minorHAnsi" w:eastAsia="Times New Roman" w:hAnsiTheme="minorHAnsi" w:cstheme="minorHAnsi"/>
          <w:color w:val="000000"/>
          <w:szCs w:val="24"/>
          <w:lang w:eastAsia="es-ES"/>
        </w:rPr>
        <w:t>ICOs</w:t>
      </w:r>
      <w:proofErr w:type="spellEnd"/>
      <w:r w:rsidRPr="0080490E">
        <w:rPr>
          <w:rFonts w:asciiTheme="minorHAnsi" w:eastAsia="Times New Roman" w:hAnsiTheme="minorHAnsi" w:cstheme="minorHAnsi"/>
          <w:color w:val="000000"/>
          <w:szCs w:val="24"/>
          <w:lang w:eastAsia="es-ES"/>
        </w:rPr>
        <w:t xml:space="preserve"> (</w:t>
      </w:r>
      <w:proofErr w:type="spellStart"/>
      <w:r w:rsidRPr="0080490E">
        <w:rPr>
          <w:rFonts w:asciiTheme="minorHAnsi" w:eastAsia="Times New Roman" w:hAnsiTheme="minorHAnsi" w:cstheme="minorHAnsi"/>
          <w:i/>
          <w:iCs/>
          <w:color w:val="000000"/>
          <w:szCs w:val="24"/>
          <w:lang w:eastAsia="es-ES"/>
        </w:rPr>
        <w:t>Initial</w:t>
      </w:r>
      <w:proofErr w:type="spellEnd"/>
      <w:r w:rsidRPr="0080490E">
        <w:rPr>
          <w:rFonts w:asciiTheme="minorHAnsi" w:eastAsia="Times New Roman" w:hAnsiTheme="minorHAnsi" w:cstheme="minorHAnsi"/>
          <w:i/>
          <w:iCs/>
          <w:color w:val="000000"/>
          <w:szCs w:val="24"/>
          <w:lang w:eastAsia="es-ES"/>
        </w:rPr>
        <w:t xml:space="preserve"> </w:t>
      </w:r>
      <w:proofErr w:type="spellStart"/>
      <w:r w:rsidRPr="0080490E">
        <w:rPr>
          <w:rFonts w:asciiTheme="minorHAnsi" w:eastAsia="Times New Roman" w:hAnsiTheme="minorHAnsi" w:cstheme="minorHAnsi"/>
          <w:i/>
          <w:iCs/>
          <w:color w:val="000000"/>
          <w:szCs w:val="24"/>
          <w:lang w:eastAsia="es-ES"/>
        </w:rPr>
        <w:t>Coin</w:t>
      </w:r>
      <w:proofErr w:type="spellEnd"/>
      <w:r w:rsidRPr="0080490E">
        <w:rPr>
          <w:rFonts w:asciiTheme="minorHAnsi" w:eastAsia="Times New Roman" w:hAnsiTheme="minorHAnsi" w:cstheme="minorHAnsi"/>
          <w:i/>
          <w:iCs/>
          <w:color w:val="000000"/>
          <w:szCs w:val="24"/>
          <w:lang w:eastAsia="es-ES"/>
        </w:rPr>
        <w:t xml:space="preserve"> </w:t>
      </w:r>
      <w:proofErr w:type="spellStart"/>
      <w:r w:rsidRPr="0080490E">
        <w:rPr>
          <w:rFonts w:asciiTheme="minorHAnsi" w:eastAsia="Times New Roman" w:hAnsiTheme="minorHAnsi" w:cstheme="minorHAnsi"/>
          <w:i/>
          <w:iCs/>
          <w:color w:val="000000"/>
          <w:szCs w:val="24"/>
          <w:lang w:eastAsia="es-ES"/>
        </w:rPr>
        <w:t>Offerings</w:t>
      </w:r>
      <w:proofErr w:type="spellEnd"/>
      <w:r w:rsidRPr="0080490E">
        <w:rPr>
          <w:rFonts w:asciiTheme="minorHAnsi" w:eastAsia="Times New Roman" w:hAnsiTheme="minorHAnsi" w:cstheme="minorHAnsi"/>
          <w:color w:val="000000"/>
          <w:szCs w:val="24"/>
          <w:lang w:eastAsia="es-ES"/>
        </w:rPr>
        <w:t xml:space="preserve">) y </w:t>
      </w:r>
      <w:proofErr w:type="spellStart"/>
      <w:r w:rsidRPr="0080490E">
        <w:rPr>
          <w:rFonts w:asciiTheme="minorHAnsi" w:eastAsia="Times New Roman" w:hAnsiTheme="minorHAnsi" w:cstheme="minorHAnsi"/>
          <w:color w:val="000000"/>
          <w:szCs w:val="24"/>
          <w:lang w:eastAsia="es-ES"/>
        </w:rPr>
        <w:t>STOs</w:t>
      </w:r>
      <w:proofErr w:type="spellEnd"/>
      <w:r w:rsidRPr="0080490E">
        <w:rPr>
          <w:rFonts w:asciiTheme="minorHAnsi" w:eastAsia="Times New Roman" w:hAnsiTheme="minorHAnsi" w:cstheme="minorHAnsi"/>
          <w:color w:val="000000"/>
          <w:szCs w:val="24"/>
          <w:lang w:eastAsia="es-ES"/>
        </w:rPr>
        <w:t xml:space="preserve"> (</w:t>
      </w:r>
      <w:r w:rsidRPr="0080490E">
        <w:rPr>
          <w:rFonts w:asciiTheme="minorHAnsi" w:eastAsia="Times New Roman" w:hAnsiTheme="minorHAnsi" w:cstheme="minorHAnsi"/>
          <w:i/>
          <w:iCs/>
          <w:color w:val="000000"/>
          <w:szCs w:val="24"/>
          <w:lang w:eastAsia="es-ES"/>
        </w:rPr>
        <w:t xml:space="preserve">Security Token </w:t>
      </w:r>
      <w:proofErr w:type="spellStart"/>
      <w:r w:rsidRPr="0080490E">
        <w:rPr>
          <w:rFonts w:asciiTheme="minorHAnsi" w:eastAsia="Times New Roman" w:hAnsiTheme="minorHAnsi" w:cstheme="minorHAnsi"/>
          <w:i/>
          <w:iCs/>
          <w:color w:val="000000"/>
          <w:szCs w:val="24"/>
          <w:lang w:eastAsia="es-ES"/>
        </w:rPr>
        <w:t>Offerings</w:t>
      </w:r>
      <w:proofErr w:type="spellEnd"/>
      <w:r w:rsidRPr="0080490E">
        <w:rPr>
          <w:rFonts w:asciiTheme="minorHAnsi" w:eastAsia="Times New Roman" w:hAnsiTheme="minorHAnsi" w:cstheme="minorHAnsi"/>
          <w:color w:val="000000"/>
          <w:szCs w:val="24"/>
          <w:lang w:eastAsia="es-ES"/>
        </w:rPr>
        <w:t xml:space="preserve">). </w:t>
      </w:r>
      <w:proofErr w:type="spellStart"/>
      <w:r w:rsidRPr="0080490E">
        <w:rPr>
          <w:rFonts w:asciiTheme="minorHAnsi" w:eastAsia="Times New Roman" w:hAnsiTheme="minorHAnsi" w:cstheme="minorHAnsi"/>
          <w:color w:val="000000"/>
          <w:szCs w:val="24"/>
          <w:lang w:eastAsia="es-ES"/>
        </w:rPr>
        <w:t>NFTs</w:t>
      </w:r>
      <w:proofErr w:type="spellEnd"/>
      <w:r w:rsidRPr="0080490E">
        <w:rPr>
          <w:rFonts w:asciiTheme="minorHAnsi" w:eastAsia="Times New Roman" w:hAnsiTheme="minorHAnsi" w:cstheme="minorHAnsi"/>
          <w:color w:val="000000"/>
          <w:szCs w:val="24"/>
          <w:lang w:eastAsia="es-ES"/>
        </w:rPr>
        <w:t xml:space="preserve"> (Non-Fungible Tokens)”, en </w:t>
      </w:r>
      <w:proofErr w:type="spellStart"/>
      <w:r w:rsidRPr="0080490E">
        <w:rPr>
          <w:rFonts w:asciiTheme="minorHAnsi" w:eastAsia="Times New Roman" w:hAnsiTheme="minorHAnsi" w:cstheme="minorHAnsi"/>
          <w:smallCaps/>
          <w:color w:val="000000"/>
          <w:szCs w:val="24"/>
          <w:lang w:eastAsia="es-ES"/>
        </w:rPr>
        <w:t>Cuena</w:t>
      </w:r>
      <w:proofErr w:type="spellEnd"/>
      <w:r w:rsidRPr="0080490E">
        <w:rPr>
          <w:rFonts w:asciiTheme="minorHAnsi" w:eastAsia="Times New Roman" w:hAnsiTheme="minorHAnsi" w:cstheme="minorHAnsi"/>
          <w:smallCaps/>
          <w:color w:val="000000"/>
          <w:szCs w:val="24"/>
          <w:lang w:eastAsia="es-ES"/>
        </w:rPr>
        <w:t xml:space="preserve"> Casas</w:t>
      </w:r>
      <w:r w:rsidR="00EA1BA3" w:rsidRPr="0080490E">
        <w:rPr>
          <w:rFonts w:asciiTheme="minorHAnsi" w:eastAsia="Times New Roman" w:hAnsiTheme="minorHAnsi" w:cstheme="minorHAnsi"/>
          <w:smallCaps/>
          <w:color w:val="000000"/>
          <w:szCs w:val="24"/>
          <w:lang w:eastAsia="es-ES"/>
        </w:rPr>
        <w:t>,</w:t>
      </w:r>
      <w:r w:rsidR="00EA1BA3" w:rsidRPr="0080490E">
        <w:rPr>
          <w:rFonts w:asciiTheme="minorHAnsi" w:eastAsia="Times New Roman" w:hAnsiTheme="minorHAnsi" w:cstheme="minorHAnsi"/>
          <w:color w:val="000000"/>
          <w:szCs w:val="24"/>
          <w:lang w:eastAsia="es-ES"/>
        </w:rPr>
        <w:t xml:space="preserve"> Matilde</w:t>
      </w:r>
      <w:r w:rsidRPr="0080490E">
        <w:rPr>
          <w:rFonts w:asciiTheme="minorHAnsi" w:eastAsia="Times New Roman" w:hAnsiTheme="minorHAnsi" w:cstheme="minorHAnsi"/>
          <w:color w:val="000000"/>
          <w:szCs w:val="24"/>
          <w:lang w:eastAsia="es-ES"/>
        </w:rPr>
        <w:t>/</w:t>
      </w:r>
      <w:r w:rsidRPr="0080490E">
        <w:rPr>
          <w:rFonts w:asciiTheme="minorHAnsi" w:eastAsia="Times New Roman" w:hAnsiTheme="minorHAnsi" w:cstheme="minorHAnsi"/>
          <w:smallCaps/>
          <w:color w:val="000000"/>
          <w:szCs w:val="24"/>
          <w:lang w:eastAsia="es-ES"/>
        </w:rPr>
        <w:t>Ibáñez Jiménez</w:t>
      </w:r>
      <w:r w:rsidR="00EA1BA3" w:rsidRPr="0080490E">
        <w:rPr>
          <w:rFonts w:asciiTheme="minorHAnsi" w:eastAsia="Times New Roman" w:hAnsiTheme="minorHAnsi" w:cstheme="minorHAnsi"/>
          <w:smallCaps/>
          <w:color w:val="000000"/>
          <w:szCs w:val="24"/>
          <w:lang w:eastAsia="es-ES"/>
        </w:rPr>
        <w:t>,</w:t>
      </w:r>
      <w:r w:rsidR="00EA1BA3" w:rsidRPr="0080490E">
        <w:rPr>
          <w:rFonts w:asciiTheme="minorHAnsi" w:eastAsia="Times New Roman" w:hAnsiTheme="minorHAnsi" w:cstheme="minorHAnsi"/>
          <w:color w:val="000000"/>
          <w:szCs w:val="24"/>
          <w:lang w:eastAsia="es-ES"/>
        </w:rPr>
        <w:t xml:space="preserve"> Javier</w:t>
      </w:r>
      <w:r w:rsidRPr="0080490E">
        <w:rPr>
          <w:rFonts w:asciiTheme="minorHAnsi" w:eastAsia="Times New Roman" w:hAnsiTheme="minorHAnsi" w:cstheme="minorHAnsi"/>
          <w:color w:val="000000"/>
          <w:szCs w:val="24"/>
          <w:lang w:eastAsia="es-ES"/>
        </w:rPr>
        <w:t xml:space="preserve"> (dirs.), </w:t>
      </w:r>
      <w:r w:rsidRPr="0080490E">
        <w:rPr>
          <w:rFonts w:asciiTheme="minorHAnsi" w:eastAsia="Times New Roman" w:hAnsiTheme="minorHAnsi" w:cstheme="minorHAnsi"/>
          <w:i/>
          <w:iCs/>
          <w:color w:val="000000"/>
          <w:szCs w:val="24"/>
          <w:lang w:eastAsia="es-ES"/>
        </w:rPr>
        <w:t>Perspectiva legal y económica del fenómeno Fintech</w:t>
      </w:r>
      <w:r w:rsidRPr="0080490E">
        <w:rPr>
          <w:rFonts w:asciiTheme="minorHAnsi" w:eastAsia="Times New Roman" w:hAnsiTheme="minorHAnsi" w:cstheme="minorHAnsi"/>
          <w:color w:val="000000"/>
          <w:szCs w:val="24"/>
          <w:lang w:eastAsia="es-ES"/>
        </w:rPr>
        <w:t xml:space="preserve">, Wolters </w:t>
      </w:r>
      <w:proofErr w:type="spellStart"/>
      <w:r w:rsidRPr="0080490E">
        <w:rPr>
          <w:rFonts w:asciiTheme="minorHAnsi" w:eastAsia="Times New Roman" w:hAnsiTheme="minorHAnsi" w:cstheme="minorHAnsi"/>
          <w:color w:val="000000"/>
          <w:szCs w:val="24"/>
          <w:lang w:eastAsia="es-ES"/>
        </w:rPr>
        <w:t>Kluwer</w:t>
      </w:r>
      <w:proofErr w:type="spellEnd"/>
      <w:r w:rsidRPr="0080490E">
        <w:rPr>
          <w:rFonts w:asciiTheme="minorHAnsi" w:eastAsia="Times New Roman" w:hAnsiTheme="minorHAnsi" w:cstheme="minorHAnsi"/>
          <w:color w:val="000000"/>
          <w:szCs w:val="24"/>
          <w:lang w:eastAsia="es-ES"/>
        </w:rPr>
        <w:t>, Madrid, 2021.</w:t>
      </w:r>
    </w:p>
    <w:p w14:paraId="060692D9" w14:textId="63476395" w:rsidR="00F95A4C" w:rsidRPr="0080490E" w:rsidRDefault="00F95A4C"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Galacho Abolafio</w:t>
      </w:r>
      <w:r w:rsidRPr="0080490E">
        <w:rPr>
          <w:rFonts w:asciiTheme="minorHAnsi" w:eastAsia="Times New Roman" w:hAnsiTheme="minorHAnsi" w:cstheme="minorHAnsi"/>
          <w:color w:val="000000"/>
          <w:szCs w:val="24"/>
          <w:lang w:eastAsia="es-ES"/>
        </w:rPr>
        <w:t xml:space="preserve">, Antonio F., “Comentario a la Sentencia del Tribunal Supremo de 29 de mayo del 2014”, </w:t>
      </w:r>
      <w:r w:rsidRPr="0080490E">
        <w:rPr>
          <w:rFonts w:asciiTheme="minorHAnsi" w:eastAsia="Times New Roman" w:hAnsiTheme="minorHAnsi" w:cstheme="minorHAnsi"/>
          <w:i/>
          <w:iCs/>
          <w:color w:val="000000"/>
          <w:szCs w:val="24"/>
          <w:lang w:eastAsia="es-ES"/>
        </w:rPr>
        <w:t xml:space="preserve">Cuadernos </w:t>
      </w:r>
      <w:proofErr w:type="spellStart"/>
      <w:r w:rsidRPr="0080490E">
        <w:rPr>
          <w:rFonts w:asciiTheme="minorHAnsi" w:eastAsia="Times New Roman" w:hAnsiTheme="minorHAnsi" w:cstheme="minorHAnsi"/>
          <w:i/>
          <w:iCs/>
          <w:color w:val="000000"/>
          <w:szCs w:val="24"/>
          <w:lang w:eastAsia="es-ES"/>
        </w:rPr>
        <w:t>Civitas</w:t>
      </w:r>
      <w:proofErr w:type="spellEnd"/>
      <w:r w:rsidRPr="0080490E">
        <w:rPr>
          <w:rFonts w:asciiTheme="minorHAnsi" w:eastAsia="Times New Roman" w:hAnsiTheme="minorHAnsi" w:cstheme="minorHAnsi"/>
          <w:i/>
          <w:iCs/>
          <w:color w:val="000000"/>
          <w:szCs w:val="24"/>
          <w:lang w:eastAsia="es-ES"/>
        </w:rPr>
        <w:t xml:space="preserve"> de Jurisprudencia Civil</w:t>
      </w:r>
      <w:r w:rsidRPr="0080490E">
        <w:rPr>
          <w:rFonts w:asciiTheme="minorHAnsi" w:eastAsia="Times New Roman" w:hAnsiTheme="minorHAnsi" w:cstheme="minorHAnsi"/>
          <w:color w:val="000000"/>
          <w:szCs w:val="24"/>
          <w:lang w:eastAsia="es-ES"/>
        </w:rPr>
        <w:t>, núm. 97, 2015.</w:t>
      </w:r>
    </w:p>
    <w:p w14:paraId="0180EAF3" w14:textId="2EB72592" w:rsidR="00F95A4C" w:rsidRPr="0080490E" w:rsidRDefault="00F95A4C"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val="en-AU" w:eastAsia="es-ES"/>
        </w:rPr>
        <w:t>García Teruel</w:t>
      </w:r>
      <w:r w:rsidRPr="0080490E">
        <w:rPr>
          <w:rFonts w:asciiTheme="minorHAnsi" w:eastAsia="Times New Roman" w:hAnsiTheme="minorHAnsi" w:cstheme="minorHAnsi"/>
          <w:color w:val="000000"/>
          <w:szCs w:val="24"/>
          <w:lang w:val="en-AU" w:eastAsia="es-ES"/>
        </w:rPr>
        <w:t>, Rosa M./</w:t>
      </w:r>
      <w:r w:rsidRPr="0080490E">
        <w:rPr>
          <w:rFonts w:asciiTheme="minorHAnsi" w:eastAsia="Times New Roman" w:hAnsiTheme="minorHAnsi" w:cstheme="minorHAnsi"/>
          <w:smallCaps/>
          <w:color w:val="000000"/>
          <w:szCs w:val="24"/>
          <w:lang w:val="en-AU" w:eastAsia="es-ES"/>
        </w:rPr>
        <w:t>Simón Moreno</w:t>
      </w:r>
      <w:r w:rsidRPr="0080490E">
        <w:rPr>
          <w:rFonts w:asciiTheme="minorHAnsi" w:eastAsia="Times New Roman" w:hAnsiTheme="minorHAnsi" w:cstheme="minorHAnsi"/>
          <w:color w:val="000000"/>
          <w:szCs w:val="24"/>
          <w:lang w:val="en-AU" w:eastAsia="es-ES"/>
        </w:rPr>
        <w:t xml:space="preserve">, Héctor, “The digital tokenization of property rights. </w:t>
      </w:r>
      <w:r w:rsidRPr="0080490E">
        <w:rPr>
          <w:rFonts w:asciiTheme="minorHAnsi" w:eastAsia="Times New Roman" w:hAnsiTheme="minorHAnsi" w:cstheme="minorHAnsi"/>
          <w:color w:val="000000"/>
          <w:szCs w:val="24"/>
          <w:lang w:eastAsia="es-ES"/>
        </w:rPr>
        <w:t xml:space="preserve">A comparative </w:t>
      </w:r>
      <w:proofErr w:type="spellStart"/>
      <w:r w:rsidRPr="0080490E">
        <w:rPr>
          <w:rFonts w:asciiTheme="minorHAnsi" w:eastAsia="Times New Roman" w:hAnsiTheme="minorHAnsi" w:cstheme="minorHAnsi"/>
          <w:color w:val="000000"/>
          <w:szCs w:val="24"/>
          <w:lang w:eastAsia="es-ES"/>
        </w:rPr>
        <w:t>perspective</w:t>
      </w:r>
      <w:proofErr w:type="spellEnd"/>
      <w:r w:rsidRPr="0080490E">
        <w:rPr>
          <w:rFonts w:asciiTheme="minorHAnsi" w:eastAsia="Times New Roman" w:hAnsiTheme="minorHAnsi" w:cstheme="minorHAnsi"/>
          <w:color w:val="000000"/>
          <w:szCs w:val="24"/>
          <w:lang w:eastAsia="es-ES"/>
        </w:rPr>
        <w:t xml:space="preserve">”, </w:t>
      </w:r>
      <w:proofErr w:type="spellStart"/>
      <w:r w:rsidRPr="0080490E">
        <w:rPr>
          <w:rFonts w:asciiTheme="minorHAnsi" w:eastAsia="Times New Roman" w:hAnsiTheme="minorHAnsi" w:cstheme="minorHAnsi"/>
          <w:i/>
          <w:iCs/>
          <w:color w:val="000000"/>
          <w:szCs w:val="24"/>
          <w:lang w:eastAsia="es-ES"/>
        </w:rPr>
        <w:t>Computer</w:t>
      </w:r>
      <w:proofErr w:type="spellEnd"/>
      <w:r w:rsidRPr="0080490E">
        <w:rPr>
          <w:rFonts w:asciiTheme="minorHAnsi" w:eastAsia="Times New Roman" w:hAnsiTheme="minorHAnsi" w:cstheme="minorHAnsi"/>
          <w:i/>
          <w:iCs/>
          <w:color w:val="000000"/>
          <w:szCs w:val="24"/>
          <w:lang w:eastAsia="es-ES"/>
        </w:rPr>
        <w:t xml:space="preserve"> </w:t>
      </w:r>
      <w:proofErr w:type="spellStart"/>
      <w:r w:rsidRPr="0080490E">
        <w:rPr>
          <w:rFonts w:asciiTheme="minorHAnsi" w:eastAsia="Times New Roman" w:hAnsiTheme="minorHAnsi" w:cstheme="minorHAnsi"/>
          <w:i/>
          <w:iCs/>
          <w:color w:val="000000"/>
          <w:szCs w:val="24"/>
          <w:lang w:eastAsia="es-ES"/>
        </w:rPr>
        <w:t>Law</w:t>
      </w:r>
      <w:proofErr w:type="spellEnd"/>
      <w:r w:rsidRPr="0080490E">
        <w:rPr>
          <w:rFonts w:asciiTheme="minorHAnsi" w:eastAsia="Times New Roman" w:hAnsiTheme="minorHAnsi" w:cstheme="minorHAnsi"/>
          <w:i/>
          <w:iCs/>
          <w:color w:val="000000"/>
          <w:szCs w:val="24"/>
          <w:lang w:eastAsia="es-ES"/>
        </w:rPr>
        <w:t xml:space="preserve"> &amp; Security </w:t>
      </w:r>
      <w:proofErr w:type="spellStart"/>
      <w:r w:rsidRPr="0080490E">
        <w:rPr>
          <w:rFonts w:asciiTheme="minorHAnsi" w:eastAsia="Times New Roman" w:hAnsiTheme="minorHAnsi" w:cstheme="minorHAnsi"/>
          <w:i/>
          <w:iCs/>
          <w:color w:val="000000"/>
          <w:szCs w:val="24"/>
          <w:lang w:eastAsia="es-ES"/>
        </w:rPr>
        <w:t>Review</w:t>
      </w:r>
      <w:proofErr w:type="spellEnd"/>
      <w:r w:rsidRPr="0080490E">
        <w:rPr>
          <w:rFonts w:asciiTheme="minorHAnsi" w:eastAsia="Times New Roman" w:hAnsiTheme="minorHAnsi" w:cstheme="minorHAnsi"/>
          <w:color w:val="000000"/>
          <w:szCs w:val="24"/>
          <w:lang w:eastAsia="es-ES"/>
        </w:rPr>
        <w:t>, núm. 41, 2021.</w:t>
      </w:r>
    </w:p>
    <w:p w14:paraId="25E861E5" w14:textId="5F004E2E" w:rsidR="00F95A4C" w:rsidRPr="0080490E" w:rsidRDefault="00F95A4C"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García-Ramos Lucero</w:t>
      </w:r>
      <w:r w:rsidRPr="0080490E">
        <w:rPr>
          <w:rFonts w:asciiTheme="minorHAnsi" w:eastAsia="Times New Roman" w:hAnsiTheme="minorHAnsi" w:cstheme="minorHAnsi"/>
          <w:color w:val="000000"/>
          <w:szCs w:val="24"/>
          <w:lang w:eastAsia="es-ES"/>
        </w:rPr>
        <w:t>, Miguel Ángel/</w:t>
      </w:r>
      <w:r w:rsidRPr="0080490E">
        <w:rPr>
          <w:rFonts w:asciiTheme="minorHAnsi" w:eastAsia="Times New Roman" w:hAnsiTheme="minorHAnsi" w:cstheme="minorHAnsi"/>
          <w:smallCaps/>
          <w:color w:val="000000"/>
          <w:szCs w:val="24"/>
          <w:lang w:eastAsia="es-ES"/>
        </w:rPr>
        <w:t>Rejas Muslera</w:t>
      </w:r>
      <w:r w:rsidRPr="0080490E">
        <w:rPr>
          <w:rFonts w:asciiTheme="minorHAnsi" w:eastAsia="Times New Roman" w:hAnsiTheme="minorHAnsi" w:cstheme="minorHAnsi"/>
          <w:color w:val="000000"/>
          <w:szCs w:val="24"/>
          <w:lang w:eastAsia="es-ES"/>
        </w:rPr>
        <w:t xml:space="preserve">, Ricardo, “Balance del régimen jurídico-económico de las </w:t>
      </w:r>
      <w:proofErr w:type="spellStart"/>
      <w:r w:rsidRPr="0080490E">
        <w:rPr>
          <w:rFonts w:asciiTheme="minorHAnsi" w:eastAsia="Times New Roman" w:hAnsiTheme="minorHAnsi" w:cstheme="minorHAnsi"/>
          <w:color w:val="000000"/>
          <w:szCs w:val="24"/>
          <w:lang w:eastAsia="es-ES"/>
        </w:rPr>
        <w:t>ICOs</w:t>
      </w:r>
      <w:proofErr w:type="spellEnd"/>
      <w:r w:rsidRPr="0080490E">
        <w:rPr>
          <w:rFonts w:asciiTheme="minorHAnsi" w:eastAsia="Times New Roman" w:hAnsiTheme="minorHAnsi" w:cstheme="minorHAnsi"/>
          <w:color w:val="000000"/>
          <w:szCs w:val="24"/>
          <w:lang w:eastAsia="es-ES"/>
        </w:rPr>
        <w:t xml:space="preserve"> en la financiación de las PYMES”, </w:t>
      </w:r>
      <w:r w:rsidRPr="0080490E">
        <w:rPr>
          <w:rFonts w:asciiTheme="minorHAnsi" w:eastAsia="Times New Roman" w:hAnsiTheme="minorHAnsi" w:cstheme="minorHAnsi"/>
          <w:i/>
          <w:iCs/>
          <w:color w:val="000000"/>
          <w:szCs w:val="24"/>
          <w:lang w:eastAsia="es-ES"/>
        </w:rPr>
        <w:t>Derecho y Cambio Social</w:t>
      </w:r>
      <w:r w:rsidRPr="0080490E">
        <w:rPr>
          <w:rFonts w:asciiTheme="minorHAnsi" w:eastAsia="Times New Roman" w:hAnsiTheme="minorHAnsi" w:cstheme="minorHAnsi"/>
          <w:color w:val="000000"/>
          <w:szCs w:val="24"/>
          <w:lang w:eastAsia="es-ES"/>
        </w:rPr>
        <w:t>, núm. 61, 2020.</w:t>
      </w:r>
    </w:p>
    <w:p w14:paraId="1AA54985" w14:textId="3A9062BD" w:rsidR="00F95A4C" w:rsidRPr="0080490E" w:rsidRDefault="00F95A4C" w:rsidP="0080490E">
      <w:pPr>
        <w:spacing w:after="0" w:line="276" w:lineRule="auto"/>
        <w:ind w:firstLine="0"/>
        <w:rPr>
          <w:rFonts w:asciiTheme="minorHAnsi" w:eastAsia="Times New Roman" w:hAnsiTheme="minorHAnsi" w:cstheme="minorHAnsi"/>
          <w:color w:val="000000"/>
          <w:szCs w:val="24"/>
          <w:lang w:eastAsia="es-ES"/>
        </w:rPr>
      </w:pPr>
      <w:r w:rsidRPr="0080490E">
        <w:rPr>
          <w:rStyle w:val="TextonotapieCar"/>
          <w:rFonts w:asciiTheme="minorHAnsi" w:hAnsiTheme="minorHAnsi" w:cstheme="minorHAnsi"/>
          <w:smallCaps/>
          <w:sz w:val="24"/>
          <w:szCs w:val="24"/>
        </w:rPr>
        <w:t>Goñi Rodríguez de Almeida</w:t>
      </w:r>
      <w:r w:rsidRPr="0080490E">
        <w:rPr>
          <w:rStyle w:val="TextonotapieCar"/>
          <w:rFonts w:asciiTheme="minorHAnsi" w:hAnsiTheme="minorHAnsi" w:cstheme="minorHAnsi"/>
          <w:sz w:val="24"/>
          <w:szCs w:val="24"/>
        </w:rPr>
        <w:t xml:space="preserve">, María, “El </w:t>
      </w:r>
      <w:r w:rsidRPr="0080490E">
        <w:rPr>
          <w:rStyle w:val="TextonotapieCar"/>
          <w:rFonts w:asciiTheme="minorHAnsi" w:hAnsiTheme="minorHAnsi" w:cstheme="minorHAnsi"/>
          <w:i/>
          <w:sz w:val="24"/>
          <w:szCs w:val="24"/>
        </w:rPr>
        <w:t>crowdfunding</w:t>
      </w:r>
      <w:r w:rsidRPr="0080490E">
        <w:rPr>
          <w:rStyle w:val="TextonotapieCar"/>
          <w:rFonts w:asciiTheme="minorHAnsi" w:hAnsiTheme="minorHAnsi" w:cstheme="minorHAnsi"/>
          <w:sz w:val="24"/>
          <w:szCs w:val="24"/>
        </w:rPr>
        <w:t xml:space="preserve"> como herramienta de financiación inmobiliaria: realidades y problemas”, </w:t>
      </w:r>
      <w:r w:rsidRPr="0080490E">
        <w:rPr>
          <w:rStyle w:val="TextonotapieCar"/>
          <w:rFonts w:asciiTheme="minorHAnsi" w:hAnsiTheme="minorHAnsi" w:cstheme="minorHAnsi"/>
          <w:i/>
          <w:iCs/>
          <w:sz w:val="24"/>
          <w:szCs w:val="24"/>
        </w:rPr>
        <w:t>Revista de Derecho Civil</w:t>
      </w:r>
      <w:r w:rsidRPr="0080490E">
        <w:rPr>
          <w:rStyle w:val="TextonotapieCar"/>
          <w:rFonts w:asciiTheme="minorHAnsi" w:hAnsiTheme="minorHAnsi" w:cstheme="minorHAnsi"/>
          <w:sz w:val="24"/>
          <w:szCs w:val="24"/>
        </w:rPr>
        <w:t xml:space="preserve">, </w:t>
      </w:r>
      <w:r w:rsidRPr="0080490E">
        <w:rPr>
          <w:rFonts w:asciiTheme="minorHAnsi" w:hAnsiTheme="minorHAnsi" w:cstheme="minorHAnsi"/>
          <w:szCs w:val="24"/>
        </w:rPr>
        <w:t>vol. VII, núm. 5</w:t>
      </w:r>
      <w:r w:rsidRPr="0080490E">
        <w:rPr>
          <w:rStyle w:val="TextonotapieCar"/>
          <w:rFonts w:asciiTheme="minorHAnsi" w:hAnsiTheme="minorHAnsi" w:cstheme="minorHAnsi"/>
          <w:sz w:val="24"/>
          <w:szCs w:val="24"/>
        </w:rPr>
        <w:t>, 2020</w:t>
      </w:r>
      <w:r w:rsidR="00366D02" w:rsidRPr="0080490E">
        <w:rPr>
          <w:rStyle w:val="TextonotapieCar"/>
          <w:rFonts w:asciiTheme="minorHAnsi" w:hAnsiTheme="minorHAnsi" w:cstheme="minorHAnsi"/>
          <w:sz w:val="24"/>
          <w:szCs w:val="24"/>
        </w:rPr>
        <w:t>.</w:t>
      </w:r>
    </w:p>
    <w:p w14:paraId="687C7EBC" w14:textId="77777777" w:rsidR="00AA3CC2" w:rsidRPr="0080490E" w:rsidRDefault="00F95A4C"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Hernández Sainz</w:t>
      </w:r>
      <w:r w:rsidRPr="0080490E">
        <w:rPr>
          <w:rFonts w:asciiTheme="minorHAnsi" w:eastAsia="Times New Roman" w:hAnsiTheme="minorHAnsi" w:cstheme="minorHAnsi"/>
          <w:color w:val="000000"/>
          <w:szCs w:val="24"/>
          <w:lang w:eastAsia="es-ES"/>
        </w:rPr>
        <w:t xml:space="preserve">, Esther, “El </w:t>
      </w:r>
      <w:r w:rsidRPr="0080490E">
        <w:rPr>
          <w:rFonts w:asciiTheme="minorHAnsi" w:eastAsia="Times New Roman" w:hAnsiTheme="minorHAnsi" w:cstheme="minorHAnsi"/>
          <w:i/>
          <w:iCs/>
          <w:color w:val="000000"/>
          <w:szCs w:val="24"/>
          <w:lang w:eastAsia="es-ES"/>
        </w:rPr>
        <w:t>crowdfunding</w:t>
      </w:r>
      <w:r w:rsidRPr="0080490E">
        <w:rPr>
          <w:rFonts w:asciiTheme="minorHAnsi" w:eastAsia="Times New Roman" w:hAnsiTheme="minorHAnsi" w:cstheme="minorHAnsi"/>
          <w:color w:val="000000"/>
          <w:szCs w:val="24"/>
          <w:lang w:eastAsia="es-ES"/>
        </w:rPr>
        <w:t xml:space="preserve"> inmobiliario mediante contratos de cuentas en participación: una fórmula de inversión participativa ¿alegal o prohibida?”, </w:t>
      </w:r>
      <w:r w:rsidRPr="0080490E">
        <w:rPr>
          <w:rFonts w:asciiTheme="minorHAnsi" w:eastAsia="Times New Roman" w:hAnsiTheme="minorHAnsi" w:cstheme="minorHAnsi"/>
          <w:i/>
          <w:iCs/>
          <w:color w:val="000000"/>
          <w:szCs w:val="24"/>
          <w:lang w:eastAsia="es-ES"/>
        </w:rPr>
        <w:t>Revista de Estudios Europeos</w:t>
      </w:r>
      <w:r w:rsidRPr="0080490E">
        <w:rPr>
          <w:rFonts w:asciiTheme="minorHAnsi" w:eastAsia="Times New Roman" w:hAnsiTheme="minorHAnsi" w:cstheme="minorHAnsi"/>
          <w:color w:val="000000"/>
          <w:szCs w:val="24"/>
          <w:lang w:eastAsia="es-ES"/>
        </w:rPr>
        <w:t>, núm. 70, 2017.</w:t>
      </w:r>
    </w:p>
    <w:p w14:paraId="2E456EE0" w14:textId="7841CA9C" w:rsidR="00F95A4C" w:rsidRPr="0080490E" w:rsidRDefault="00AA3CC2"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color w:val="000000"/>
          <w:szCs w:val="24"/>
          <w:lang w:eastAsia="es-ES"/>
        </w:rPr>
        <w:t xml:space="preserve">— </w:t>
      </w:r>
      <w:r w:rsidR="00F95A4C" w:rsidRPr="0080490E">
        <w:rPr>
          <w:rFonts w:asciiTheme="minorHAnsi" w:eastAsia="Times New Roman" w:hAnsiTheme="minorHAnsi" w:cstheme="minorHAnsi"/>
          <w:color w:val="000000"/>
          <w:szCs w:val="24"/>
          <w:lang w:eastAsia="es-ES"/>
        </w:rPr>
        <w:t>“</w:t>
      </w:r>
      <w:r w:rsidR="00F95A4C" w:rsidRPr="0080490E">
        <w:rPr>
          <w:rFonts w:asciiTheme="minorHAnsi" w:eastAsia="Times New Roman" w:hAnsiTheme="minorHAnsi" w:cstheme="minorHAnsi"/>
          <w:i/>
          <w:iCs/>
          <w:color w:val="000000"/>
          <w:szCs w:val="24"/>
          <w:lang w:eastAsia="es-ES"/>
        </w:rPr>
        <w:t>Crowdfunding</w:t>
      </w:r>
      <w:r w:rsidR="00F95A4C" w:rsidRPr="0080490E">
        <w:rPr>
          <w:rFonts w:asciiTheme="minorHAnsi" w:eastAsia="Times New Roman" w:hAnsiTheme="minorHAnsi" w:cstheme="minorHAnsi"/>
          <w:color w:val="000000"/>
          <w:szCs w:val="24"/>
          <w:lang w:eastAsia="es-ES"/>
        </w:rPr>
        <w:t xml:space="preserve"> inmobiliario. Alternativas para su articulación jurídica y riesgos para el inversor”, en </w:t>
      </w:r>
      <w:r w:rsidR="00F95A4C" w:rsidRPr="0080490E">
        <w:rPr>
          <w:rFonts w:asciiTheme="minorHAnsi" w:eastAsia="Times New Roman" w:hAnsiTheme="minorHAnsi" w:cstheme="minorHAnsi"/>
          <w:smallCaps/>
          <w:color w:val="000000"/>
          <w:szCs w:val="24"/>
          <w:lang w:eastAsia="es-ES"/>
        </w:rPr>
        <w:t>Alonso Pérez</w:t>
      </w:r>
      <w:r w:rsidR="00F95A4C" w:rsidRPr="0080490E">
        <w:rPr>
          <w:rFonts w:asciiTheme="minorHAnsi" w:eastAsia="Times New Roman" w:hAnsiTheme="minorHAnsi" w:cstheme="minorHAnsi"/>
          <w:color w:val="000000"/>
          <w:szCs w:val="24"/>
          <w:lang w:eastAsia="es-ES"/>
        </w:rPr>
        <w:t xml:space="preserve">, María Teresa (dir.), </w:t>
      </w:r>
      <w:r w:rsidR="00F95A4C" w:rsidRPr="0080490E">
        <w:rPr>
          <w:rFonts w:asciiTheme="minorHAnsi" w:eastAsia="Times New Roman" w:hAnsiTheme="minorHAnsi" w:cstheme="minorHAnsi"/>
          <w:i/>
          <w:iCs/>
          <w:color w:val="000000"/>
          <w:szCs w:val="24"/>
          <w:lang w:eastAsia="es-ES"/>
        </w:rPr>
        <w:t>Nuevas vías jurídicas de acceso a la vivienda</w:t>
      </w:r>
      <w:r w:rsidR="00F95A4C" w:rsidRPr="0080490E">
        <w:rPr>
          <w:rFonts w:asciiTheme="minorHAnsi" w:eastAsia="Times New Roman" w:hAnsiTheme="minorHAnsi" w:cstheme="minorHAnsi"/>
          <w:color w:val="000000"/>
          <w:szCs w:val="24"/>
          <w:lang w:eastAsia="es-ES"/>
        </w:rPr>
        <w:t>, Aranzadi</w:t>
      </w:r>
      <w:r w:rsidR="00F31F67" w:rsidRPr="0080490E">
        <w:rPr>
          <w:rFonts w:asciiTheme="minorHAnsi" w:eastAsia="Times New Roman" w:hAnsiTheme="minorHAnsi" w:cstheme="minorHAnsi"/>
          <w:color w:val="000000"/>
          <w:szCs w:val="24"/>
          <w:lang w:eastAsia="es-ES"/>
        </w:rPr>
        <w:t>,</w:t>
      </w:r>
      <w:r w:rsidR="00F95A4C" w:rsidRPr="0080490E">
        <w:rPr>
          <w:rFonts w:asciiTheme="minorHAnsi" w:eastAsia="Times New Roman" w:hAnsiTheme="minorHAnsi" w:cstheme="minorHAnsi"/>
          <w:color w:val="000000"/>
          <w:szCs w:val="24"/>
          <w:lang w:eastAsia="es-ES"/>
        </w:rPr>
        <w:t xml:space="preserve"> Cizur Menor, 2018.</w:t>
      </w:r>
    </w:p>
    <w:p w14:paraId="56536467" w14:textId="6176D861" w:rsidR="00F95A4C" w:rsidRPr="0080490E" w:rsidRDefault="00F95A4C"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Jiménez París</w:t>
      </w:r>
      <w:r w:rsidRPr="0080490E">
        <w:rPr>
          <w:rFonts w:asciiTheme="minorHAnsi" w:eastAsia="Times New Roman" w:hAnsiTheme="minorHAnsi" w:cstheme="minorHAnsi"/>
          <w:color w:val="000000"/>
          <w:szCs w:val="24"/>
          <w:lang w:eastAsia="es-ES"/>
        </w:rPr>
        <w:t xml:space="preserve">, Teresa Asunción, “Breve introducción al fenómeno del </w:t>
      </w:r>
      <w:r w:rsidRPr="0080490E">
        <w:rPr>
          <w:rFonts w:asciiTheme="minorHAnsi" w:eastAsia="Times New Roman" w:hAnsiTheme="minorHAnsi" w:cstheme="minorHAnsi"/>
          <w:i/>
          <w:iCs/>
          <w:color w:val="000000"/>
          <w:szCs w:val="24"/>
          <w:lang w:eastAsia="es-ES"/>
        </w:rPr>
        <w:t>crowdfunding</w:t>
      </w:r>
      <w:r w:rsidRPr="0080490E">
        <w:rPr>
          <w:rFonts w:asciiTheme="minorHAnsi" w:eastAsia="Times New Roman" w:hAnsiTheme="minorHAnsi" w:cstheme="minorHAnsi"/>
          <w:color w:val="000000"/>
          <w:szCs w:val="24"/>
          <w:lang w:eastAsia="es-ES"/>
        </w:rPr>
        <w:t xml:space="preserve"> inmobiliario en España”, </w:t>
      </w:r>
      <w:r w:rsidRPr="0080490E">
        <w:rPr>
          <w:rFonts w:asciiTheme="minorHAnsi" w:eastAsia="Times New Roman" w:hAnsiTheme="minorHAnsi" w:cstheme="minorHAnsi"/>
          <w:i/>
          <w:iCs/>
          <w:color w:val="000000"/>
          <w:szCs w:val="24"/>
          <w:lang w:eastAsia="es-ES"/>
        </w:rPr>
        <w:t>Revista Crítica de Derecho Inmobiliario</w:t>
      </w:r>
      <w:r w:rsidRPr="0080490E">
        <w:rPr>
          <w:rFonts w:asciiTheme="minorHAnsi" w:eastAsia="Times New Roman" w:hAnsiTheme="minorHAnsi" w:cstheme="minorHAnsi"/>
          <w:color w:val="000000"/>
          <w:szCs w:val="24"/>
          <w:lang w:eastAsia="es-ES"/>
        </w:rPr>
        <w:t>, núm. 773, 2019</w:t>
      </w:r>
      <w:r w:rsidR="00EA1BA3" w:rsidRPr="0080490E">
        <w:rPr>
          <w:rFonts w:asciiTheme="minorHAnsi" w:eastAsia="Times New Roman" w:hAnsiTheme="minorHAnsi" w:cstheme="minorHAnsi"/>
          <w:color w:val="000000"/>
          <w:szCs w:val="24"/>
          <w:lang w:eastAsia="es-ES"/>
        </w:rPr>
        <w:t>.</w:t>
      </w:r>
    </w:p>
    <w:p w14:paraId="2CBD85E2" w14:textId="1D3F0EA9" w:rsidR="00523F08" w:rsidRPr="0080490E" w:rsidRDefault="00AA3CC2"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w:t>
      </w:r>
      <w:r w:rsidR="00F95A4C" w:rsidRPr="0080490E">
        <w:rPr>
          <w:rFonts w:asciiTheme="minorHAnsi" w:eastAsia="Times New Roman" w:hAnsiTheme="minorHAnsi" w:cstheme="minorHAnsi"/>
          <w:color w:val="000000"/>
          <w:szCs w:val="24"/>
          <w:lang w:eastAsia="es-ES"/>
        </w:rPr>
        <w:t xml:space="preserve"> “El </w:t>
      </w:r>
      <w:r w:rsidR="00F95A4C" w:rsidRPr="0080490E">
        <w:rPr>
          <w:rFonts w:asciiTheme="minorHAnsi" w:eastAsia="Times New Roman" w:hAnsiTheme="minorHAnsi" w:cstheme="minorHAnsi"/>
          <w:i/>
          <w:iCs/>
          <w:color w:val="000000"/>
          <w:szCs w:val="24"/>
          <w:lang w:eastAsia="es-ES"/>
        </w:rPr>
        <w:t>crowdfunding</w:t>
      </w:r>
      <w:r w:rsidR="00F95A4C" w:rsidRPr="0080490E">
        <w:rPr>
          <w:rFonts w:asciiTheme="minorHAnsi" w:eastAsia="Times New Roman" w:hAnsiTheme="minorHAnsi" w:cstheme="minorHAnsi"/>
          <w:color w:val="000000"/>
          <w:szCs w:val="24"/>
          <w:lang w:eastAsia="es-ES"/>
        </w:rPr>
        <w:t xml:space="preserve"> inmobiliario en España. Cuestiones resueltas y no resueltas por la Ley de fomento de la financiación empresarial”, en </w:t>
      </w:r>
      <w:proofErr w:type="spellStart"/>
      <w:r w:rsidR="00F95A4C" w:rsidRPr="0080490E">
        <w:rPr>
          <w:rFonts w:asciiTheme="minorHAnsi" w:eastAsia="Times New Roman" w:hAnsiTheme="minorHAnsi" w:cstheme="minorHAnsi"/>
          <w:smallCaps/>
          <w:color w:val="000000"/>
          <w:szCs w:val="24"/>
          <w:lang w:eastAsia="es-ES"/>
        </w:rPr>
        <w:t>Cuena</w:t>
      </w:r>
      <w:proofErr w:type="spellEnd"/>
      <w:r w:rsidR="00F95A4C" w:rsidRPr="0080490E">
        <w:rPr>
          <w:rFonts w:asciiTheme="minorHAnsi" w:eastAsia="Times New Roman" w:hAnsiTheme="minorHAnsi" w:cstheme="minorHAnsi"/>
          <w:smallCaps/>
          <w:color w:val="000000"/>
          <w:szCs w:val="24"/>
          <w:lang w:eastAsia="es-ES"/>
        </w:rPr>
        <w:t xml:space="preserve"> Casas</w:t>
      </w:r>
      <w:r w:rsidR="0002755F" w:rsidRPr="0080490E">
        <w:rPr>
          <w:rFonts w:asciiTheme="minorHAnsi" w:eastAsia="Times New Roman" w:hAnsiTheme="minorHAnsi" w:cstheme="minorHAnsi"/>
          <w:smallCaps/>
          <w:color w:val="000000"/>
          <w:szCs w:val="24"/>
          <w:lang w:eastAsia="es-ES"/>
        </w:rPr>
        <w:t>,</w:t>
      </w:r>
      <w:r w:rsidR="00F95A4C" w:rsidRPr="0080490E">
        <w:rPr>
          <w:rFonts w:asciiTheme="minorHAnsi" w:eastAsia="Times New Roman" w:hAnsiTheme="minorHAnsi" w:cstheme="minorHAnsi"/>
          <w:color w:val="000000"/>
          <w:szCs w:val="24"/>
          <w:lang w:eastAsia="es-ES"/>
        </w:rPr>
        <w:t xml:space="preserve"> </w:t>
      </w:r>
      <w:r w:rsidR="0002755F" w:rsidRPr="0080490E">
        <w:rPr>
          <w:rFonts w:asciiTheme="minorHAnsi" w:eastAsia="Times New Roman" w:hAnsiTheme="minorHAnsi" w:cstheme="minorHAnsi"/>
          <w:color w:val="000000"/>
          <w:szCs w:val="24"/>
          <w:lang w:eastAsia="es-ES"/>
        </w:rPr>
        <w:t xml:space="preserve">Matilde </w:t>
      </w:r>
      <w:r w:rsidR="00F95A4C" w:rsidRPr="0080490E">
        <w:rPr>
          <w:rFonts w:asciiTheme="minorHAnsi" w:eastAsia="Times New Roman" w:hAnsiTheme="minorHAnsi" w:cstheme="minorHAnsi"/>
          <w:color w:val="000000"/>
          <w:szCs w:val="24"/>
          <w:lang w:eastAsia="es-ES"/>
        </w:rPr>
        <w:t xml:space="preserve">(dir.), </w:t>
      </w:r>
      <w:r w:rsidR="00F95A4C" w:rsidRPr="0080490E">
        <w:rPr>
          <w:rFonts w:asciiTheme="minorHAnsi" w:eastAsia="Times New Roman" w:hAnsiTheme="minorHAnsi" w:cstheme="minorHAnsi"/>
          <w:i/>
          <w:iCs/>
          <w:color w:val="000000"/>
          <w:szCs w:val="24"/>
          <w:lang w:eastAsia="es-ES"/>
        </w:rPr>
        <w:t>Aspectos legales de la financiación en masa o crowdfunding</w:t>
      </w:r>
      <w:r w:rsidR="00F95A4C" w:rsidRPr="0080490E">
        <w:rPr>
          <w:rFonts w:asciiTheme="minorHAnsi" w:eastAsia="Times New Roman" w:hAnsiTheme="minorHAnsi" w:cstheme="minorHAnsi"/>
          <w:color w:val="000000"/>
          <w:szCs w:val="24"/>
          <w:lang w:eastAsia="es-ES"/>
        </w:rPr>
        <w:t>, Tirant lo Blanch, Valencia, 2020.</w:t>
      </w:r>
    </w:p>
    <w:p w14:paraId="60EBC794" w14:textId="1182C972" w:rsidR="00F95A4C" w:rsidRPr="0080490E" w:rsidRDefault="00F95A4C" w:rsidP="0080490E">
      <w:pPr>
        <w:spacing w:after="0" w:line="276" w:lineRule="auto"/>
        <w:ind w:firstLine="0"/>
        <w:rPr>
          <w:rFonts w:asciiTheme="minorHAnsi" w:eastAsia="Times New Roman" w:hAnsiTheme="minorHAnsi" w:cstheme="minorHAnsi"/>
          <w:color w:val="000000"/>
          <w:szCs w:val="24"/>
          <w:lang w:eastAsia="es-ES"/>
        </w:rPr>
      </w:pPr>
      <w:proofErr w:type="spellStart"/>
      <w:r w:rsidRPr="0080490E">
        <w:rPr>
          <w:rFonts w:asciiTheme="minorHAnsi" w:eastAsia="Times New Roman" w:hAnsiTheme="minorHAnsi" w:cstheme="minorHAnsi"/>
          <w:smallCaps/>
          <w:color w:val="000000"/>
          <w:szCs w:val="24"/>
          <w:lang w:eastAsia="es-ES"/>
        </w:rPr>
        <w:t>Legerén</w:t>
      </w:r>
      <w:proofErr w:type="spellEnd"/>
      <w:r w:rsidRPr="0080490E">
        <w:rPr>
          <w:rFonts w:asciiTheme="minorHAnsi" w:eastAsia="Times New Roman" w:hAnsiTheme="minorHAnsi" w:cstheme="minorHAnsi"/>
          <w:smallCaps/>
          <w:color w:val="000000"/>
          <w:szCs w:val="24"/>
          <w:lang w:eastAsia="es-ES"/>
        </w:rPr>
        <w:t>-Molina</w:t>
      </w:r>
      <w:r w:rsidRPr="0080490E">
        <w:rPr>
          <w:rFonts w:asciiTheme="minorHAnsi" w:eastAsia="Times New Roman" w:hAnsiTheme="minorHAnsi" w:cstheme="minorHAnsi"/>
          <w:color w:val="000000"/>
          <w:szCs w:val="24"/>
          <w:lang w:eastAsia="es-ES"/>
        </w:rPr>
        <w:t xml:space="preserve">, Antonio, “Los contratos inteligentes en España”, </w:t>
      </w:r>
      <w:r w:rsidRPr="0080490E">
        <w:rPr>
          <w:rFonts w:asciiTheme="minorHAnsi" w:eastAsia="Times New Roman" w:hAnsiTheme="minorHAnsi" w:cstheme="minorHAnsi"/>
          <w:i/>
          <w:iCs/>
          <w:color w:val="000000"/>
          <w:szCs w:val="24"/>
          <w:lang w:eastAsia="es-ES"/>
        </w:rPr>
        <w:t xml:space="preserve">Revista de Derecho </w:t>
      </w:r>
      <w:r w:rsidR="00EA1BA3" w:rsidRPr="0080490E">
        <w:rPr>
          <w:rFonts w:asciiTheme="minorHAnsi" w:eastAsia="Times New Roman" w:hAnsiTheme="minorHAnsi" w:cstheme="minorHAnsi"/>
          <w:i/>
          <w:iCs/>
          <w:color w:val="000000"/>
          <w:szCs w:val="24"/>
          <w:lang w:eastAsia="es-ES"/>
        </w:rPr>
        <w:t>C</w:t>
      </w:r>
      <w:r w:rsidRPr="0080490E">
        <w:rPr>
          <w:rFonts w:asciiTheme="minorHAnsi" w:eastAsia="Times New Roman" w:hAnsiTheme="minorHAnsi" w:cstheme="minorHAnsi"/>
          <w:i/>
          <w:iCs/>
          <w:color w:val="000000"/>
          <w:szCs w:val="24"/>
          <w:lang w:eastAsia="es-ES"/>
        </w:rPr>
        <w:t>ivil</w:t>
      </w:r>
      <w:r w:rsidRPr="0080490E">
        <w:rPr>
          <w:rFonts w:asciiTheme="minorHAnsi" w:eastAsia="Times New Roman" w:hAnsiTheme="minorHAnsi" w:cstheme="minorHAnsi"/>
          <w:color w:val="000000"/>
          <w:szCs w:val="24"/>
          <w:lang w:eastAsia="es-ES"/>
        </w:rPr>
        <w:t>, vol. 5, núm. 2, 2018</w:t>
      </w:r>
      <w:r w:rsidR="00EA1BA3" w:rsidRPr="0080490E">
        <w:rPr>
          <w:rFonts w:asciiTheme="minorHAnsi" w:eastAsia="Times New Roman" w:hAnsiTheme="minorHAnsi" w:cstheme="minorHAnsi"/>
          <w:color w:val="000000"/>
          <w:szCs w:val="24"/>
          <w:lang w:eastAsia="es-ES"/>
        </w:rPr>
        <w:t>.</w:t>
      </w:r>
    </w:p>
    <w:p w14:paraId="741F10DE" w14:textId="24CC533F" w:rsidR="00EA1BA3" w:rsidRPr="0080490E" w:rsidRDefault="00EA1BA3" w:rsidP="0080490E">
      <w:pPr>
        <w:spacing w:after="0" w:line="276" w:lineRule="auto"/>
        <w:ind w:firstLine="0"/>
        <w:rPr>
          <w:rFonts w:asciiTheme="minorHAnsi" w:hAnsiTheme="minorHAnsi" w:cstheme="minorHAnsi"/>
          <w:szCs w:val="24"/>
        </w:rPr>
      </w:pPr>
      <w:r w:rsidRPr="0080490E">
        <w:rPr>
          <w:rFonts w:asciiTheme="minorHAnsi" w:hAnsiTheme="minorHAnsi" w:cstheme="minorHAnsi"/>
          <w:smallCaps/>
          <w:szCs w:val="24"/>
        </w:rPr>
        <w:t>López Ortega</w:t>
      </w:r>
      <w:r w:rsidRPr="0080490E">
        <w:rPr>
          <w:rFonts w:asciiTheme="minorHAnsi" w:hAnsiTheme="minorHAnsi" w:cstheme="minorHAnsi"/>
          <w:szCs w:val="24"/>
        </w:rPr>
        <w:t xml:space="preserve">, Raquel, “Las plataformas de financiación participativa a la luz de la nueva regulación europea del </w:t>
      </w:r>
      <w:r w:rsidRPr="0080490E">
        <w:rPr>
          <w:rFonts w:asciiTheme="minorHAnsi" w:hAnsiTheme="minorHAnsi" w:cstheme="minorHAnsi"/>
          <w:i/>
          <w:szCs w:val="24"/>
        </w:rPr>
        <w:t>crowdfunding</w:t>
      </w:r>
      <w:r w:rsidRPr="0080490E">
        <w:rPr>
          <w:rFonts w:asciiTheme="minorHAnsi" w:hAnsiTheme="minorHAnsi" w:cstheme="minorHAnsi"/>
          <w:szCs w:val="24"/>
        </w:rPr>
        <w:t xml:space="preserve">”, </w:t>
      </w:r>
      <w:r w:rsidRPr="0080490E">
        <w:rPr>
          <w:rFonts w:asciiTheme="minorHAnsi" w:hAnsiTheme="minorHAnsi" w:cstheme="minorHAnsi"/>
          <w:i/>
          <w:iCs/>
          <w:szCs w:val="24"/>
        </w:rPr>
        <w:t>Revista de Derecho Bancario y Bursátil</w:t>
      </w:r>
      <w:r w:rsidRPr="0080490E">
        <w:rPr>
          <w:rFonts w:asciiTheme="minorHAnsi" w:hAnsiTheme="minorHAnsi" w:cstheme="minorHAnsi"/>
          <w:szCs w:val="24"/>
        </w:rPr>
        <w:t>, núm. 162, 2021.</w:t>
      </w:r>
    </w:p>
    <w:p w14:paraId="66DB98D3" w14:textId="447097FC" w:rsidR="00EA1BA3" w:rsidRPr="0080490E" w:rsidRDefault="00EA1BA3" w:rsidP="0080490E">
      <w:pPr>
        <w:spacing w:after="0" w:line="276" w:lineRule="auto"/>
        <w:ind w:firstLine="0"/>
        <w:rPr>
          <w:rFonts w:asciiTheme="minorHAnsi" w:hAnsiTheme="minorHAnsi" w:cstheme="minorHAnsi"/>
          <w:szCs w:val="24"/>
        </w:rPr>
      </w:pPr>
      <w:r w:rsidRPr="0080490E">
        <w:rPr>
          <w:rFonts w:asciiTheme="minorHAnsi" w:hAnsiTheme="minorHAnsi" w:cstheme="minorHAnsi"/>
          <w:smallCaps/>
          <w:szCs w:val="24"/>
        </w:rPr>
        <w:lastRenderedPageBreak/>
        <w:t>Luquin</w:t>
      </w:r>
      <w:r w:rsidRPr="0080490E">
        <w:rPr>
          <w:rFonts w:asciiTheme="minorHAnsi" w:hAnsiTheme="minorHAnsi" w:cstheme="minorHAnsi"/>
          <w:szCs w:val="24"/>
        </w:rPr>
        <w:t xml:space="preserve"> </w:t>
      </w:r>
      <w:r w:rsidRPr="0080490E">
        <w:rPr>
          <w:rFonts w:asciiTheme="minorHAnsi" w:hAnsiTheme="minorHAnsi" w:cstheme="minorHAnsi"/>
          <w:smallCaps/>
          <w:szCs w:val="24"/>
        </w:rPr>
        <w:t xml:space="preserve">Bergareche, </w:t>
      </w:r>
      <w:r w:rsidRPr="0080490E">
        <w:rPr>
          <w:rFonts w:asciiTheme="minorHAnsi" w:hAnsiTheme="minorHAnsi" w:cstheme="minorHAnsi"/>
          <w:szCs w:val="24"/>
        </w:rPr>
        <w:t xml:space="preserve">Raquel, </w:t>
      </w:r>
      <w:r w:rsidRPr="0080490E">
        <w:rPr>
          <w:rFonts w:asciiTheme="minorHAnsi" w:hAnsiTheme="minorHAnsi" w:cstheme="minorHAnsi"/>
          <w:i/>
          <w:szCs w:val="24"/>
        </w:rPr>
        <w:t xml:space="preserve">Smart </w:t>
      </w:r>
      <w:proofErr w:type="spellStart"/>
      <w:r w:rsidRPr="0080490E">
        <w:rPr>
          <w:rFonts w:asciiTheme="minorHAnsi" w:hAnsiTheme="minorHAnsi" w:cstheme="minorHAnsi"/>
          <w:i/>
          <w:szCs w:val="24"/>
        </w:rPr>
        <w:t>contracts</w:t>
      </w:r>
      <w:proofErr w:type="spellEnd"/>
      <w:r w:rsidRPr="0080490E">
        <w:rPr>
          <w:rFonts w:asciiTheme="minorHAnsi" w:hAnsiTheme="minorHAnsi" w:cstheme="minorHAnsi"/>
          <w:i/>
          <w:szCs w:val="24"/>
        </w:rPr>
        <w:t>: aplicaciones jurídicas y de salud digital</w:t>
      </w:r>
      <w:r w:rsidRPr="0080490E">
        <w:rPr>
          <w:rFonts w:asciiTheme="minorHAnsi" w:hAnsiTheme="minorHAnsi" w:cstheme="minorHAnsi"/>
          <w:szCs w:val="24"/>
        </w:rPr>
        <w:t>, Tirant lo Blanch, Valencia, 2024.</w:t>
      </w:r>
    </w:p>
    <w:p w14:paraId="0F76DDBE" w14:textId="4473D17F" w:rsidR="00EA1BA3" w:rsidRPr="0080490E" w:rsidRDefault="00EA1BA3"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Madrid Parra,</w:t>
      </w:r>
      <w:r w:rsidRPr="0080490E">
        <w:rPr>
          <w:rFonts w:asciiTheme="minorHAnsi" w:eastAsia="Times New Roman" w:hAnsiTheme="minorHAnsi" w:cstheme="minorHAnsi"/>
          <w:color w:val="000000"/>
          <w:szCs w:val="24"/>
          <w:lang w:eastAsia="es-ES"/>
        </w:rPr>
        <w:t xml:space="preserve"> Agustín, “Del valor anotado al «tokenizado»”, </w:t>
      </w:r>
      <w:r w:rsidRPr="0080490E">
        <w:rPr>
          <w:rFonts w:asciiTheme="minorHAnsi" w:eastAsia="Times New Roman" w:hAnsiTheme="minorHAnsi" w:cstheme="minorHAnsi"/>
          <w:i/>
          <w:iCs/>
          <w:color w:val="000000"/>
          <w:szCs w:val="24"/>
          <w:lang w:eastAsia="es-ES"/>
        </w:rPr>
        <w:t>Revista de Derecho del Sistema Financiero</w:t>
      </w:r>
      <w:r w:rsidRPr="0080490E">
        <w:rPr>
          <w:rFonts w:asciiTheme="minorHAnsi" w:eastAsia="Times New Roman" w:hAnsiTheme="minorHAnsi" w:cstheme="minorHAnsi"/>
          <w:color w:val="000000"/>
          <w:szCs w:val="24"/>
          <w:lang w:eastAsia="es-ES"/>
        </w:rPr>
        <w:t>, núm. 3, 2022.</w:t>
      </w:r>
    </w:p>
    <w:p w14:paraId="2B99C052" w14:textId="430FCBB4" w:rsidR="00EA1BA3" w:rsidRPr="0080490E" w:rsidRDefault="00AA3CC2"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w:t>
      </w:r>
      <w:r w:rsidRPr="0080490E">
        <w:rPr>
          <w:rFonts w:asciiTheme="minorHAnsi" w:eastAsia="Times New Roman" w:hAnsiTheme="minorHAnsi" w:cstheme="minorHAnsi"/>
          <w:color w:val="000000"/>
          <w:szCs w:val="24"/>
          <w:lang w:eastAsia="es-ES"/>
        </w:rPr>
        <w:t xml:space="preserve"> </w:t>
      </w:r>
      <w:r w:rsidR="00EA1BA3" w:rsidRPr="0080490E">
        <w:rPr>
          <w:rFonts w:asciiTheme="minorHAnsi" w:eastAsia="Times New Roman" w:hAnsiTheme="minorHAnsi" w:cstheme="minorHAnsi"/>
          <w:color w:val="000000"/>
          <w:szCs w:val="24"/>
          <w:lang w:eastAsia="es-ES"/>
        </w:rPr>
        <w:t xml:space="preserve">“Regulación inicial de los </w:t>
      </w:r>
      <w:proofErr w:type="spellStart"/>
      <w:r w:rsidR="00EA1BA3" w:rsidRPr="0080490E">
        <w:rPr>
          <w:rFonts w:asciiTheme="minorHAnsi" w:eastAsia="Times New Roman" w:hAnsiTheme="minorHAnsi" w:cstheme="minorHAnsi"/>
          <w:color w:val="000000"/>
          <w:szCs w:val="24"/>
          <w:lang w:eastAsia="es-ES"/>
        </w:rPr>
        <w:t>criptovalores</w:t>
      </w:r>
      <w:proofErr w:type="spellEnd"/>
      <w:r w:rsidR="00EA1BA3" w:rsidRPr="0080490E">
        <w:rPr>
          <w:rFonts w:asciiTheme="minorHAnsi" w:eastAsia="Times New Roman" w:hAnsiTheme="minorHAnsi" w:cstheme="minorHAnsi"/>
          <w:color w:val="000000"/>
          <w:szCs w:val="24"/>
          <w:lang w:eastAsia="es-ES"/>
        </w:rPr>
        <w:t xml:space="preserve">”, </w:t>
      </w:r>
      <w:r w:rsidR="00EA1BA3" w:rsidRPr="0080490E">
        <w:rPr>
          <w:rFonts w:asciiTheme="minorHAnsi" w:eastAsia="Times New Roman" w:hAnsiTheme="minorHAnsi" w:cstheme="minorHAnsi"/>
          <w:i/>
          <w:iCs/>
          <w:color w:val="000000"/>
          <w:szCs w:val="24"/>
          <w:lang w:eastAsia="es-ES"/>
        </w:rPr>
        <w:t>Revista de Derecho del Sistema Financiero</w:t>
      </w:r>
      <w:r w:rsidR="00EA1BA3" w:rsidRPr="0080490E">
        <w:rPr>
          <w:rFonts w:asciiTheme="minorHAnsi" w:eastAsia="Times New Roman" w:hAnsiTheme="minorHAnsi" w:cstheme="minorHAnsi"/>
          <w:color w:val="000000"/>
          <w:szCs w:val="24"/>
          <w:lang w:eastAsia="es-ES"/>
        </w:rPr>
        <w:t>, núm. 6, 2023.</w:t>
      </w:r>
    </w:p>
    <w:p w14:paraId="412D0236" w14:textId="04A57AB5" w:rsidR="00EA1BA3" w:rsidRPr="0080490E" w:rsidRDefault="00EA1BA3"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Muñoz García</w:t>
      </w:r>
      <w:r w:rsidRPr="0080490E">
        <w:rPr>
          <w:rFonts w:asciiTheme="minorHAnsi" w:eastAsia="Times New Roman" w:hAnsiTheme="minorHAnsi" w:cstheme="minorHAnsi"/>
          <w:color w:val="000000"/>
          <w:szCs w:val="24"/>
          <w:lang w:eastAsia="es-ES"/>
        </w:rPr>
        <w:t>,</w:t>
      </w:r>
      <w:r w:rsidRPr="0080490E">
        <w:rPr>
          <w:rFonts w:asciiTheme="minorHAnsi" w:eastAsia="Times New Roman" w:hAnsiTheme="minorHAnsi" w:cstheme="minorHAnsi"/>
          <w:i/>
          <w:iCs/>
          <w:color w:val="000000"/>
          <w:szCs w:val="24"/>
          <w:lang w:eastAsia="es-ES"/>
        </w:rPr>
        <w:t xml:space="preserve"> </w:t>
      </w:r>
      <w:r w:rsidRPr="0080490E">
        <w:rPr>
          <w:rFonts w:asciiTheme="minorHAnsi" w:eastAsia="Times New Roman" w:hAnsiTheme="minorHAnsi" w:cstheme="minorHAnsi"/>
          <w:color w:val="000000"/>
          <w:szCs w:val="24"/>
          <w:lang w:eastAsia="es-ES"/>
        </w:rPr>
        <w:t xml:space="preserve">Alfredo, “La tokenización de instrumentos financieros en la Ley de los Mercados de Valores y de los Servicios de Inversión”, </w:t>
      </w:r>
      <w:r w:rsidRPr="0080490E">
        <w:rPr>
          <w:rFonts w:asciiTheme="minorHAnsi" w:eastAsia="Times New Roman" w:hAnsiTheme="minorHAnsi" w:cstheme="minorHAnsi"/>
          <w:i/>
          <w:iCs/>
          <w:color w:val="000000"/>
          <w:szCs w:val="24"/>
          <w:lang w:eastAsia="es-ES"/>
        </w:rPr>
        <w:t xml:space="preserve">Revista de </w:t>
      </w:r>
      <w:r w:rsidR="00077D79" w:rsidRPr="0080490E">
        <w:rPr>
          <w:rFonts w:asciiTheme="minorHAnsi" w:eastAsia="Times New Roman" w:hAnsiTheme="minorHAnsi" w:cstheme="minorHAnsi"/>
          <w:i/>
          <w:iCs/>
          <w:color w:val="000000"/>
          <w:szCs w:val="24"/>
          <w:lang w:eastAsia="es-ES"/>
        </w:rPr>
        <w:t xml:space="preserve">Derecho Bancario </w:t>
      </w:r>
      <w:r w:rsidRPr="0080490E">
        <w:rPr>
          <w:rFonts w:asciiTheme="minorHAnsi" w:eastAsia="Times New Roman" w:hAnsiTheme="minorHAnsi" w:cstheme="minorHAnsi"/>
          <w:i/>
          <w:iCs/>
          <w:color w:val="000000"/>
          <w:szCs w:val="24"/>
          <w:lang w:eastAsia="es-ES"/>
        </w:rPr>
        <w:t xml:space="preserve">y </w:t>
      </w:r>
      <w:r w:rsidR="00077D79" w:rsidRPr="0080490E">
        <w:rPr>
          <w:rFonts w:asciiTheme="minorHAnsi" w:eastAsia="Times New Roman" w:hAnsiTheme="minorHAnsi" w:cstheme="minorHAnsi"/>
          <w:i/>
          <w:iCs/>
          <w:color w:val="000000"/>
          <w:szCs w:val="24"/>
          <w:lang w:eastAsia="es-ES"/>
        </w:rPr>
        <w:t>Bursátil</w:t>
      </w:r>
      <w:r w:rsidRPr="0080490E">
        <w:rPr>
          <w:rFonts w:asciiTheme="minorHAnsi" w:eastAsia="Times New Roman" w:hAnsiTheme="minorHAnsi" w:cstheme="minorHAnsi"/>
          <w:color w:val="000000"/>
          <w:szCs w:val="24"/>
          <w:lang w:eastAsia="es-ES"/>
        </w:rPr>
        <w:t>, núm. 170, 2023</w:t>
      </w:r>
      <w:r w:rsidR="00077D79" w:rsidRPr="0080490E">
        <w:rPr>
          <w:rFonts w:asciiTheme="minorHAnsi" w:eastAsia="Times New Roman" w:hAnsiTheme="minorHAnsi" w:cstheme="minorHAnsi"/>
          <w:color w:val="000000"/>
          <w:szCs w:val="24"/>
          <w:lang w:eastAsia="es-ES"/>
        </w:rPr>
        <w:t>.</w:t>
      </w:r>
    </w:p>
    <w:p w14:paraId="3FD91A03" w14:textId="10F534B1" w:rsidR="00EA1BA3" w:rsidRPr="0080490E" w:rsidRDefault="00EA1BA3"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Muñoz Pérez</w:t>
      </w:r>
      <w:r w:rsidRPr="0080490E">
        <w:rPr>
          <w:rFonts w:asciiTheme="minorHAnsi" w:eastAsia="Times New Roman" w:hAnsiTheme="minorHAnsi" w:cstheme="minorHAnsi"/>
          <w:color w:val="000000"/>
          <w:szCs w:val="24"/>
          <w:lang w:eastAsia="es-ES"/>
        </w:rPr>
        <w:t xml:space="preserve">, Ana Felicitas, “Criptoactivo, oferta y admisión a negociación”, en </w:t>
      </w:r>
      <w:r w:rsidRPr="0080490E">
        <w:rPr>
          <w:rFonts w:asciiTheme="minorHAnsi" w:eastAsia="Times New Roman" w:hAnsiTheme="minorHAnsi" w:cstheme="minorHAnsi"/>
          <w:smallCaps/>
          <w:color w:val="000000"/>
          <w:szCs w:val="24"/>
          <w:lang w:eastAsia="es-ES"/>
        </w:rPr>
        <w:t>Madrid Parra</w:t>
      </w:r>
      <w:r w:rsidRPr="0080490E">
        <w:rPr>
          <w:rFonts w:asciiTheme="minorHAnsi" w:eastAsia="Times New Roman" w:hAnsiTheme="minorHAnsi" w:cstheme="minorHAnsi"/>
          <w:color w:val="000000"/>
          <w:szCs w:val="24"/>
          <w:lang w:eastAsia="es-ES"/>
        </w:rPr>
        <w:t>, Agustín/</w:t>
      </w:r>
      <w:r w:rsidRPr="0080490E">
        <w:rPr>
          <w:rFonts w:asciiTheme="minorHAnsi" w:eastAsia="Times New Roman" w:hAnsiTheme="minorHAnsi" w:cstheme="minorHAnsi"/>
          <w:smallCaps/>
          <w:color w:val="000000"/>
          <w:szCs w:val="24"/>
          <w:lang w:eastAsia="es-ES"/>
        </w:rPr>
        <w:t>Pastor Sempere</w:t>
      </w:r>
      <w:r w:rsidRPr="0080490E">
        <w:rPr>
          <w:rFonts w:asciiTheme="minorHAnsi" w:eastAsia="Times New Roman" w:hAnsiTheme="minorHAnsi" w:cstheme="minorHAnsi"/>
          <w:color w:val="000000"/>
          <w:szCs w:val="24"/>
          <w:lang w:eastAsia="es-ES"/>
        </w:rPr>
        <w:t xml:space="preserve">, Carmen, </w:t>
      </w:r>
      <w:r w:rsidRPr="0080490E">
        <w:rPr>
          <w:rFonts w:asciiTheme="minorHAnsi" w:eastAsia="Times New Roman" w:hAnsiTheme="minorHAnsi" w:cstheme="minorHAnsi"/>
          <w:i/>
          <w:iCs/>
          <w:color w:val="000000"/>
          <w:szCs w:val="24"/>
          <w:lang w:eastAsia="es-ES"/>
        </w:rPr>
        <w:t>Guía de criptoactivos MiCA</w:t>
      </w:r>
      <w:r w:rsidRPr="0080490E">
        <w:rPr>
          <w:rFonts w:asciiTheme="minorHAnsi" w:eastAsia="Times New Roman" w:hAnsiTheme="minorHAnsi" w:cstheme="minorHAnsi"/>
          <w:color w:val="000000"/>
          <w:szCs w:val="24"/>
          <w:lang w:eastAsia="es-ES"/>
        </w:rPr>
        <w:t>,</w:t>
      </w:r>
      <w:r w:rsidR="00F31F67" w:rsidRPr="0080490E">
        <w:rPr>
          <w:rFonts w:asciiTheme="minorHAnsi" w:eastAsia="Times New Roman" w:hAnsiTheme="minorHAnsi" w:cstheme="minorHAnsi"/>
          <w:color w:val="000000"/>
          <w:szCs w:val="24"/>
          <w:lang w:eastAsia="es-ES"/>
        </w:rPr>
        <w:t xml:space="preserve"> </w:t>
      </w:r>
      <w:r w:rsidRPr="0080490E">
        <w:rPr>
          <w:rFonts w:asciiTheme="minorHAnsi" w:eastAsia="Times New Roman" w:hAnsiTheme="minorHAnsi" w:cstheme="minorHAnsi"/>
          <w:color w:val="000000"/>
          <w:szCs w:val="24"/>
          <w:lang w:eastAsia="es-ES"/>
        </w:rPr>
        <w:t>Aranzadi, Cizur Menor, 2021</w:t>
      </w:r>
      <w:r w:rsidR="00BC4388" w:rsidRPr="0080490E">
        <w:rPr>
          <w:rFonts w:asciiTheme="minorHAnsi" w:eastAsia="Times New Roman" w:hAnsiTheme="minorHAnsi" w:cstheme="minorHAnsi"/>
          <w:color w:val="000000"/>
          <w:szCs w:val="24"/>
          <w:lang w:eastAsia="es-ES"/>
        </w:rPr>
        <w:t>.</w:t>
      </w:r>
    </w:p>
    <w:p w14:paraId="422EE1CB" w14:textId="39D0B3CE" w:rsidR="00EA1BA3" w:rsidRPr="0080490E" w:rsidRDefault="00EA1BA3" w:rsidP="0080490E">
      <w:pPr>
        <w:spacing w:after="0" w:line="276" w:lineRule="auto"/>
        <w:ind w:firstLine="0"/>
        <w:rPr>
          <w:rFonts w:asciiTheme="minorHAnsi" w:hAnsiTheme="minorHAnsi" w:cstheme="minorHAnsi"/>
          <w:color w:val="000000"/>
          <w:szCs w:val="24"/>
        </w:rPr>
      </w:pPr>
      <w:r w:rsidRPr="0080490E">
        <w:rPr>
          <w:rFonts w:asciiTheme="minorHAnsi" w:hAnsiTheme="minorHAnsi" w:cstheme="minorHAnsi"/>
          <w:smallCaps/>
          <w:color w:val="000000"/>
          <w:szCs w:val="24"/>
        </w:rPr>
        <w:t>Nakamoto</w:t>
      </w:r>
      <w:r w:rsidRPr="0080490E">
        <w:rPr>
          <w:rFonts w:asciiTheme="minorHAnsi" w:hAnsiTheme="minorHAnsi" w:cstheme="minorHAnsi"/>
          <w:color w:val="000000"/>
          <w:szCs w:val="24"/>
        </w:rPr>
        <w:t>, Satoshi, “Bitcoin: a peer-</w:t>
      </w:r>
      <w:proofErr w:type="spellStart"/>
      <w:r w:rsidRPr="0080490E">
        <w:rPr>
          <w:rFonts w:asciiTheme="minorHAnsi" w:hAnsiTheme="minorHAnsi" w:cstheme="minorHAnsi"/>
          <w:color w:val="000000"/>
          <w:szCs w:val="24"/>
        </w:rPr>
        <w:t>to</w:t>
      </w:r>
      <w:proofErr w:type="spellEnd"/>
      <w:r w:rsidRPr="0080490E">
        <w:rPr>
          <w:rFonts w:asciiTheme="minorHAnsi" w:hAnsiTheme="minorHAnsi" w:cstheme="minorHAnsi"/>
          <w:color w:val="000000"/>
          <w:szCs w:val="24"/>
        </w:rPr>
        <w:t xml:space="preserve">-peer </w:t>
      </w:r>
      <w:proofErr w:type="spellStart"/>
      <w:r w:rsidRPr="0080490E">
        <w:rPr>
          <w:rFonts w:asciiTheme="minorHAnsi" w:hAnsiTheme="minorHAnsi" w:cstheme="minorHAnsi"/>
          <w:color w:val="000000"/>
          <w:szCs w:val="24"/>
        </w:rPr>
        <w:t>electronic</w:t>
      </w:r>
      <w:proofErr w:type="spellEnd"/>
      <w:r w:rsidRPr="0080490E">
        <w:rPr>
          <w:rFonts w:asciiTheme="minorHAnsi" w:hAnsiTheme="minorHAnsi" w:cstheme="minorHAnsi"/>
          <w:color w:val="000000"/>
          <w:szCs w:val="24"/>
        </w:rPr>
        <w:t xml:space="preserve"> cash </w:t>
      </w:r>
      <w:proofErr w:type="spellStart"/>
      <w:r w:rsidRPr="0080490E">
        <w:rPr>
          <w:rFonts w:asciiTheme="minorHAnsi" w:hAnsiTheme="minorHAnsi" w:cstheme="minorHAnsi"/>
          <w:color w:val="000000"/>
          <w:szCs w:val="24"/>
        </w:rPr>
        <w:t>system</w:t>
      </w:r>
      <w:proofErr w:type="spellEnd"/>
      <w:r w:rsidRPr="0080490E">
        <w:rPr>
          <w:rFonts w:asciiTheme="minorHAnsi" w:hAnsiTheme="minorHAnsi" w:cstheme="minorHAnsi"/>
          <w:color w:val="000000"/>
          <w:szCs w:val="24"/>
        </w:rPr>
        <w:t xml:space="preserve">”, </w:t>
      </w:r>
      <w:r w:rsidR="006C128A" w:rsidRPr="0080490E">
        <w:rPr>
          <w:rFonts w:asciiTheme="minorHAnsi" w:hAnsiTheme="minorHAnsi" w:cstheme="minorHAnsi"/>
          <w:color w:val="000000"/>
          <w:szCs w:val="24"/>
        </w:rPr>
        <w:t>Disponible en https://bitcoin.org/bitcoin.pdf [Consulta: 22 de noviembre de 2024].</w:t>
      </w:r>
    </w:p>
    <w:p w14:paraId="2F6C1B6E" w14:textId="712E716A" w:rsidR="00077D79" w:rsidRPr="0080490E" w:rsidRDefault="00077D79"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Nasarre Aznar</w:t>
      </w:r>
      <w:r w:rsidRPr="0080490E">
        <w:rPr>
          <w:rFonts w:asciiTheme="minorHAnsi" w:eastAsia="Times New Roman" w:hAnsiTheme="minorHAnsi" w:cstheme="minorHAnsi"/>
          <w:color w:val="000000"/>
          <w:szCs w:val="24"/>
          <w:lang w:eastAsia="es-ES"/>
        </w:rPr>
        <w:t xml:space="preserve">, Sergio, “Naturaleza jurídica y régimen civil de los tokens en blockchain”, en </w:t>
      </w:r>
      <w:r w:rsidRPr="0080490E">
        <w:rPr>
          <w:rFonts w:asciiTheme="minorHAnsi" w:eastAsia="Times New Roman" w:hAnsiTheme="minorHAnsi" w:cstheme="minorHAnsi"/>
          <w:smallCaps/>
          <w:color w:val="000000"/>
          <w:szCs w:val="24"/>
          <w:lang w:eastAsia="es-ES"/>
        </w:rPr>
        <w:t>García Teruel</w:t>
      </w:r>
      <w:r w:rsidRPr="0080490E">
        <w:rPr>
          <w:rFonts w:asciiTheme="minorHAnsi" w:eastAsia="Times New Roman" w:hAnsiTheme="minorHAnsi" w:cstheme="minorHAnsi"/>
          <w:color w:val="000000"/>
          <w:szCs w:val="24"/>
          <w:lang w:eastAsia="es-ES"/>
        </w:rPr>
        <w:t xml:space="preserve">, Rosa María (coord.), </w:t>
      </w:r>
      <w:r w:rsidRPr="0080490E">
        <w:rPr>
          <w:rFonts w:asciiTheme="minorHAnsi" w:eastAsia="Times New Roman" w:hAnsiTheme="minorHAnsi" w:cstheme="minorHAnsi"/>
          <w:i/>
          <w:iCs/>
          <w:color w:val="000000"/>
          <w:szCs w:val="24"/>
          <w:lang w:eastAsia="es-ES"/>
        </w:rPr>
        <w:t>La tokenización de bienes en blockchain</w:t>
      </w:r>
      <w:r w:rsidRPr="0080490E">
        <w:rPr>
          <w:rFonts w:asciiTheme="minorHAnsi" w:eastAsia="Times New Roman" w:hAnsiTheme="minorHAnsi" w:cstheme="minorHAnsi"/>
          <w:color w:val="000000"/>
          <w:szCs w:val="24"/>
          <w:lang w:eastAsia="es-ES"/>
        </w:rPr>
        <w:t>,</w:t>
      </w:r>
      <w:r w:rsidR="00F31F67" w:rsidRPr="0080490E">
        <w:rPr>
          <w:rFonts w:asciiTheme="minorHAnsi" w:eastAsia="Times New Roman" w:hAnsiTheme="minorHAnsi" w:cstheme="minorHAnsi"/>
          <w:color w:val="000000"/>
          <w:szCs w:val="24"/>
          <w:lang w:eastAsia="es-ES"/>
        </w:rPr>
        <w:t xml:space="preserve"> </w:t>
      </w:r>
      <w:r w:rsidRPr="0080490E">
        <w:rPr>
          <w:rFonts w:asciiTheme="minorHAnsi" w:eastAsia="Times New Roman" w:hAnsiTheme="minorHAnsi" w:cstheme="minorHAnsi"/>
          <w:color w:val="000000"/>
          <w:szCs w:val="24"/>
          <w:lang w:eastAsia="es-ES"/>
        </w:rPr>
        <w:t>Aranzadi, Cizur Menor, 2020.</w:t>
      </w:r>
    </w:p>
    <w:p w14:paraId="3EFF9FCF" w14:textId="70426651" w:rsidR="00077D79" w:rsidRPr="0080490E" w:rsidRDefault="00077D79"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Novella González del Castillo</w:t>
      </w:r>
      <w:r w:rsidRPr="0080490E">
        <w:rPr>
          <w:rFonts w:asciiTheme="minorHAnsi" w:eastAsia="Times New Roman" w:hAnsiTheme="minorHAnsi" w:cstheme="minorHAnsi"/>
          <w:color w:val="000000"/>
          <w:szCs w:val="24"/>
          <w:lang w:eastAsia="es-ES"/>
        </w:rPr>
        <w:t xml:space="preserve">, Eduardo, “El futuro Reglamento europeo para un mercado de criptoactivos (Propuesta MICA)”, en </w:t>
      </w:r>
      <w:r w:rsidRPr="0080490E">
        <w:rPr>
          <w:rFonts w:asciiTheme="minorHAnsi" w:eastAsia="Times New Roman" w:hAnsiTheme="minorHAnsi" w:cstheme="minorHAnsi"/>
          <w:smallCaps/>
          <w:color w:val="000000"/>
          <w:szCs w:val="24"/>
          <w:lang w:eastAsia="es-ES"/>
        </w:rPr>
        <w:t>Barrio Andrés</w:t>
      </w:r>
      <w:r w:rsidR="004F2BB6" w:rsidRPr="0080490E">
        <w:rPr>
          <w:rFonts w:asciiTheme="minorHAnsi" w:eastAsia="Times New Roman" w:hAnsiTheme="minorHAnsi" w:cstheme="minorHAnsi"/>
          <w:color w:val="000000"/>
          <w:szCs w:val="24"/>
          <w:lang w:eastAsia="es-ES"/>
        </w:rPr>
        <w:t>,</w:t>
      </w:r>
      <w:r w:rsidRPr="0080490E">
        <w:rPr>
          <w:rFonts w:asciiTheme="minorHAnsi" w:eastAsia="Times New Roman" w:hAnsiTheme="minorHAnsi" w:cstheme="minorHAnsi"/>
          <w:color w:val="000000"/>
          <w:szCs w:val="24"/>
          <w:lang w:eastAsia="es-ES"/>
        </w:rPr>
        <w:t xml:space="preserve"> </w:t>
      </w:r>
      <w:r w:rsidR="004F2BB6" w:rsidRPr="0080490E">
        <w:rPr>
          <w:rFonts w:asciiTheme="minorHAnsi" w:eastAsia="Times New Roman" w:hAnsiTheme="minorHAnsi" w:cstheme="minorHAnsi"/>
          <w:color w:val="000000"/>
          <w:szCs w:val="24"/>
          <w:lang w:eastAsia="es-ES"/>
        </w:rPr>
        <w:t xml:space="preserve">Moisés </w:t>
      </w:r>
      <w:r w:rsidRPr="0080490E">
        <w:rPr>
          <w:rFonts w:asciiTheme="minorHAnsi" w:eastAsia="Times New Roman" w:hAnsiTheme="minorHAnsi" w:cstheme="minorHAnsi"/>
          <w:color w:val="000000"/>
          <w:szCs w:val="24"/>
          <w:lang w:eastAsia="es-ES"/>
        </w:rPr>
        <w:t>(coord.),</w:t>
      </w:r>
      <w:r w:rsidRPr="0080490E">
        <w:rPr>
          <w:rFonts w:asciiTheme="minorHAnsi" w:eastAsia="Times New Roman" w:hAnsiTheme="minorHAnsi" w:cstheme="minorHAnsi"/>
          <w:i/>
          <w:iCs/>
          <w:color w:val="000000"/>
          <w:szCs w:val="24"/>
          <w:lang w:eastAsia="es-ES"/>
        </w:rPr>
        <w:t xml:space="preserve"> Criptoactivos. Retos y desafíos normativos</w:t>
      </w:r>
      <w:r w:rsidRPr="0080490E">
        <w:rPr>
          <w:rFonts w:asciiTheme="minorHAnsi" w:eastAsia="Times New Roman" w:hAnsiTheme="minorHAnsi" w:cstheme="minorHAnsi"/>
          <w:color w:val="000000"/>
          <w:szCs w:val="24"/>
          <w:lang w:eastAsia="es-ES"/>
        </w:rPr>
        <w:t xml:space="preserve">, Wolters </w:t>
      </w:r>
      <w:proofErr w:type="spellStart"/>
      <w:r w:rsidRPr="0080490E">
        <w:rPr>
          <w:rFonts w:asciiTheme="minorHAnsi" w:eastAsia="Times New Roman" w:hAnsiTheme="minorHAnsi" w:cstheme="minorHAnsi"/>
          <w:color w:val="000000"/>
          <w:szCs w:val="24"/>
          <w:lang w:eastAsia="es-ES"/>
        </w:rPr>
        <w:t>Kluwer</w:t>
      </w:r>
      <w:proofErr w:type="spellEnd"/>
      <w:r w:rsidRPr="0080490E">
        <w:rPr>
          <w:rFonts w:asciiTheme="minorHAnsi" w:eastAsia="Times New Roman" w:hAnsiTheme="minorHAnsi" w:cstheme="minorHAnsi"/>
          <w:color w:val="000000"/>
          <w:szCs w:val="24"/>
          <w:lang w:eastAsia="es-ES"/>
        </w:rPr>
        <w:t>, Madrid, 2021.</w:t>
      </w:r>
    </w:p>
    <w:p w14:paraId="54239131" w14:textId="7385F8A3" w:rsidR="00B31D0A" w:rsidRPr="0080490E" w:rsidRDefault="00B31D0A" w:rsidP="0080490E">
      <w:pPr>
        <w:spacing w:after="0" w:line="276" w:lineRule="auto"/>
        <w:ind w:firstLine="0"/>
        <w:rPr>
          <w:rFonts w:asciiTheme="minorHAnsi" w:eastAsia="Times New Roman" w:hAnsiTheme="minorHAnsi" w:cstheme="minorHAnsi"/>
          <w:szCs w:val="20"/>
        </w:rPr>
      </w:pPr>
      <w:r w:rsidRPr="0080490E">
        <w:rPr>
          <w:rFonts w:asciiTheme="minorHAnsi" w:hAnsiTheme="minorHAnsi" w:cstheme="minorHAnsi"/>
          <w:smallCaps/>
          <w:color w:val="000000"/>
          <w:szCs w:val="20"/>
        </w:rPr>
        <w:t>Otero Cobos</w:t>
      </w:r>
      <w:r w:rsidRPr="0080490E">
        <w:rPr>
          <w:rFonts w:asciiTheme="minorHAnsi" w:hAnsiTheme="minorHAnsi" w:cstheme="minorHAnsi"/>
          <w:color w:val="000000"/>
          <w:szCs w:val="20"/>
        </w:rPr>
        <w:t xml:space="preserve">, Teresa, “Régimen de información y transparencia: el libro blanco de criptoactivos”, </w:t>
      </w:r>
      <w:r w:rsidRPr="0080490E">
        <w:rPr>
          <w:rFonts w:asciiTheme="minorHAnsi" w:eastAsia="Times New Roman" w:hAnsiTheme="minorHAnsi" w:cstheme="minorHAnsi"/>
          <w:szCs w:val="20"/>
        </w:rPr>
        <w:t xml:space="preserve">en </w:t>
      </w:r>
      <w:r w:rsidRPr="0080490E">
        <w:rPr>
          <w:rFonts w:asciiTheme="minorHAnsi" w:eastAsia="Times New Roman" w:hAnsiTheme="minorHAnsi" w:cstheme="minorHAnsi"/>
          <w:smallCaps/>
          <w:szCs w:val="20"/>
        </w:rPr>
        <w:t>Madrid Parra,</w:t>
      </w:r>
      <w:r w:rsidRPr="0080490E">
        <w:rPr>
          <w:rFonts w:asciiTheme="minorHAnsi" w:eastAsia="Times New Roman" w:hAnsiTheme="minorHAnsi" w:cstheme="minorHAnsi"/>
          <w:szCs w:val="20"/>
        </w:rPr>
        <w:t xml:space="preserve"> Agustín/</w:t>
      </w:r>
      <w:r w:rsidRPr="0080490E">
        <w:rPr>
          <w:rFonts w:asciiTheme="minorHAnsi" w:eastAsia="Times New Roman" w:hAnsiTheme="minorHAnsi" w:cstheme="minorHAnsi"/>
          <w:smallCaps/>
          <w:szCs w:val="20"/>
        </w:rPr>
        <w:t>Pastor Sempere</w:t>
      </w:r>
      <w:r w:rsidRPr="0080490E">
        <w:rPr>
          <w:rFonts w:asciiTheme="minorHAnsi" w:eastAsia="Times New Roman" w:hAnsiTheme="minorHAnsi" w:cstheme="minorHAnsi"/>
          <w:szCs w:val="20"/>
        </w:rPr>
        <w:t>, Carmen,</w:t>
      </w:r>
      <w:r w:rsidRPr="0080490E">
        <w:rPr>
          <w:rFonts w:asciiTheme="minorHAnsi" w:eastAsia="Times New Roman" w:hAnsiTheme="minorHAnsi" w:cstheme="minorHAnsi"/>
          <w:i/>
          <w:szCs w:val="20"/>
        </w:rPr>
        <w:t xml:space="preserve"> Guía de criptoactivos MiCA</w:t>
      </w:r>
      <w:r w:rsidRPr="0080490E">
        <w:rPr>
          <w:rFonts w:asciiTheme="minorHAnsi" w:eastAsia="Times New Roman" w:hAnsiTheme="minorHAnsi" w:cstheme="minorHAnsi"/>
          <w:szCs w:val="20"/>
        </w:rPr>
        <w:t>, Thomson Reuters Aranzadi, Cizur Menor, 2021.</w:t>
      </w:r>
    </w:p>
    <w:p w14:paraId="272C2777" w14:textId="35D554D0" w:rsidR="00077D79" w:rsidRPr="0080490E" w:rsidRDefault="00077D79"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Pacheco Jiménez</w:t>
      </w:r>
      <w:r w:rsidRPr="0080490E">
        <w:rPr>
          <w:rFonts w:asciiTheme="minorHAnsi" w:eastAsia="Times New Roman" w:hAnsiTheme="minorHAnsi" w:cstheme="minorHAnsi"/>
          <w:color w:val="000000"/>
          <w:szCs w:val="24"/>
          <w:lang w:eastAsia="es-ES"/>
        </w:rPr>
        <w:t xml:space="preserve">, María Nieves, “De la tecnología blockchain a la economía del token”, </w:t>
      </w:r>
      <w:r w:rsidRPr="0080490E">
        <w:rPr>
          <w:rFonts w:asciiTheme="minorHAnsi" w:eastAsia="Times New Roman" w:hAnsiTheme="minorHAnsi" w:cstheme="minorHAnsi"/>
          <w:i/>
          <w:iCs/>
          <w:color w:val="000000"/>
          <w:szCs w:val="24"/>
          <w:lang w:eastAsia="es-ES"/>
        </w:rPr>
        <w:t>Derecho PUCP: Revista de la Facultad de Derecho</w:t>
      </w:r>
      <w:r w:rsidRPr="0080490E">
        <w:rPr>
          <w:rFonts w:asciiTheme="minorHAnsi" w:eastAsia="Times New Roman" w:hAnsiTheme="minorHAnsi" w:cstheme="minorHAnsi"/>
          <w:color w:val="000000"/>
          <w:szCs w:val="24"/>
          <w:lang w:eastAsia="es-ES"/>
        </w:rPr>
        <w:t>, núm. 83, 2019.</w:t>
      </w:r>
    </w:p>
    <w:p w14:paraId="7CD30A56" w14:textId="1372A14D" w:rsidR="00077D79" w:rsidRPr="0080490E" w:rsidRDefault="00077D79" w:rsidP="0080490E">
      <w:pPr>
        <w:spacing w:after="0" w:line="276" w:lineRule="auto"/>
        <w:ind w:firstLine="0"/>
        <w:rPr>
          <w:rFonts w:asciiTheme="minorHAnsi" w:eastAsia="Times New Roman" w:hAnsiTheme="minorHAnsi" w:cstheme="minorHAnsi"/>
          <w:color w:val="000000"/>
          <w:szCs w:val="24"/>
          <w:lang w:eastAsia="es-ES"/>
        </w:rPr>
      </w:pPr>
      <w:proofErr w:type="spellStart"/>
      <w:r w:rsidRPr="0080490E">
        <w:rPr>
          <w:rFonts w:asciiTheme="minorHAnsi" w:eastAsia="Times New Roman" w:hAnsiTheme="minorHAnsi" w:cstheme="minorHAnsi"/>
          <w:smallCaps/>
          <w:color w:val="000000"/>
          <w:szCs w:val="24"/>
          <w:lang w:eastAsia="es-ES"/>
        </w:rPr>
        <w:t>Palá</w:t>
      </w:r>
      <w:proofErr w:type="spellEnd"/>
      <w:r w:rsidRPr="0080490E">
        <w:rPr>
          <w:rFonts w:asciiTheme="minorHAnsi" w:eastAsia="Times New Roman" w:hAnsiTheme="minorHAnsi" w:cstheme="minorHAnsi"/>
          <w:smallCaps/>
          <w:color w:val="000000"/>
          <w:szCs w:val="24"/>
          <w:lang w:eastAsia="es-ES"/>
        </w:rPr>
        <w:t xml:space="preserve"> Laguna</w:t>
      </w:r>
      <w:r w:rsidRPr="0080490E">
        <w:rPr>
          <w:rFonts w:asciiTheme="minorHAnsi" w:eastAsia="Times New Roman" w:hAnsiTheme="minorHAnsi" w:cstheme="minorHAnsi"/>
          <w:color w:val="000000"/>
          <w:szCs w:val="24"/>
          <w:lang w:eastAsia="es-ES"/>
        </w:rPr>
        <w:t xml:space="preserve">, Reyes, “Los criptoactivos valores negociables como nueva categoría de los derechos-valor”, </w:t>
      </w:r>
      <w:r w:rsidRPr="0080490E">
        <w:rPr>
          <w:rFonts w:asciiTheme="minorHAnsi" w:eastAsia="Times New Roman" w:hAnsiTheme="minorHAnsi" w:cstheme="minorHAnsi"/>
          <w:i/>
          <w:iCs/>
          <w:color w:val="000000"/>
          <w:szCs w:val="24"/>
          <w:lang w:eastAsia="es-ES"/>
        </w:rPr>
        <w:t>Revista de Derecho del Mercado de Valores</w:t>
      </w:r>
      <w:r w:rsidRPr="0080490E">
        <w:rPr>
          <w:rFonts w:asciiTheme="minorHAnsi" w:eastAsia="Times New Roman" w:hAnsiTheme="minorHAnsi" w:cstheme="minorHAnsi"/>
          <w:color w:val="000000"/>
          <w:szCs w:val="24"/>
          <w:lang w:eastAsia="es-ES"/>
        </w:rPr>
        <w:t>, núm. 31, 2022.</w:t>
      </w:r>
    </w:p>
    <w:p w14:paraId="00635C32" w14:textId="3B324AF6" w:rsidR="00077D79" w:rsidRPr="0080490E" w:rsidRDefault="00077D79"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Pedreira Menéndez</w:t>
      </w:r>
      <w:r w:rsidRPr="0080490E">
        <w:rPr>
          <w:rFonts w:asciiTheme="minorHAnsi" w:eastAsia="Times New Roman" w:hAnsiTheme="minorHAnsi" w:cstheme="minorHAnsi"/>
          <w:color w:val="000000"/>
          <w:szCs w:val="24"/>
          <w:lang w:eastAsia="es-ES"/>
        </w:rPr>
        <w:t>, José/</w:t>
      </w:r>
      <w:r w:rsidRPr="0080490E">
        <w:rPr>
          <w:rFonts w:asciiTheme="minorHAnsi" w:eastAsia="Times New Roman" w:hAnsiTheme="minorHAnsi" w:cstheme="minorHAnsi"/>
          <w:smallCaps/>
          <w:color w:val="000000"/>
          <w:szCs w:val="24"/>
          <w:lang w:eastAsia="es-ES"/>
        </w:rPr>
        <w:t>Álvarez Pérez</w:t>
      </w:r>
      <w:r w:rsidRPr="0080490E">
        <w:rPr>
          <w:rFonts w:asciiTheme="minorHAnsi" w:eastAsia="Times New Roman" w:hAnsiTheme="minorHAnsi" w:cstheme="minorHAnsi"/>
          <w:color w:val="000000"/>
          <w:szCs w:val="24"/>
          <w:lang w:eastAsia="es-ES"/>
        </w:rPr>
        <w:t xml:space="preserve">, Belén, “Las ICO como vía de financiación empresarial a través de tokens”, </w:t>
      </w:r>
      <w:r w:rsidRPr="0080490E">
        <w:rPr>
          <w:rFonts w:asciiTheme="minorHAnsi" w:eastAsia="Times New Roman" w:hAnsiTheme="minorHAnsi" w:cstheme="minorHAnsi"/>
          <w:i/>
          <w:iCs/>
          <w:color w:val="000000"/>
          <w:szCs w:val="24"/>
          <w:lang w:eastAsia="es-ES"/>
        </w:rPr>
        <w:t>Revista Quincena Fiscal</w:t>
      </w:r>
      <w:r w:rsidRPr="0080490E">
        <w:rPr>
          <w:rFonts w:asciiTheme="minorHAnsi" w:eastAsia="Times New Roman" w:hAnsiTheme="minorHAnsi" w:cstheme="minorHAnsi"/>
          <w:color w:val="000000"/>
          <w:szCs w:val="24"/>
          <w:lang w:eastAsia="es-ES"/>
        </w:rPr>
        <w:t xml:space="preserve">, </w:t>
      </w:r>
      <w:proofErr w:type="spellStart"/>
      <w:r w:rsidRPr="0080490E">
        <w:rPr>
          <w:rFonts w:asciiTheme="minorHAnsi" w:eastAsia="Times New Roman" w:hAnsiTheme="minorHAnsi" w:cstheme="minorHAnsi"/>
          <w:color w:val="000000"/>
          <w:szCs w:val="24"/>
          <w:lang w:eastAsia="es-ES"/>
        </w:rPr>
        <w:t>núms</w:t>
      </w:r>
      <w:proofErr w:type="spellEnd"/>
      <w:r w:rsidRPr="0080490E">
        <w:rPr>
          <w:rFonts w:asciiTheme="minorHAnsi" w:eastAsia="Times New Roman" w:hAnsiTheme="minorHAnsi" w:cstheme="minorHAnsi"/>
          <w:color w:val="000000"/>
          <w:szCs w:val="24"/>
          <w:lang w:eastAsia="es-ES"/>
        </w:rPr>
        <w:t>. 15-16, 2020.</w:t>
      </w:r>
    </w:p>
    <w:p w14:paraId="1A3CF4B8" w14:textId="5A2787C0" w:rsidR="00077D79" w:rsidRPr="0080490E" w:rsidRDefault="00077D79"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Rabasa Martínez</w:t>
      </w:r>
      <w:r w:rsidRPr="0080490E">
        <w:rPr>
          <w:rFonts w:asciiTheme="minorHAnsi" w:eastAsia="Times New Roman" w:hAnsiTheme="minorHAnsi" w:cstheme="minorHAnsi"/>
          <w:color w:val="000000"/>
          <w:szCs w:val="24"/>
          <w:lang w:eastAsia="es-ES"/>
        </w:rPr>
        <w:t xml:space="preserve">, Ignacio, “El uso de bitcoins en las plataformas de </w:t>
      </w:r>
      <w:r w:rsidRPr="0080490E">
        <w:rPr>
          <w:rFonts w:asciiTheme="minorHAnsi" w:eastAsia="Times New Roman" w:hAnsiTheme="minorHAnsi" w:cstheme="minorHAnsi"/>
          <w:i/>
          <w:iCs/>
          <w:color w:val="000000"/>
          <w:szCs w:val="24"/>
          <w:lang w:eastAsia="es-ES"/>
        </w:rPr>
        <w:t>crowdfunding</w:t>
      </w:r>
      <w:r w:rsidRPr="0080490E">
        <w:rPr>
          <w:rFonts w:asciiTheme="minorHAnsi" w:eastAsia="Times New Roman" w:hAnsiTheme="minorHAnsi" w:cstheme="minorHAnsi"/>
          <w:color w:val="000000"/>
          <w:szCs w:val="24"/>
          <w:lang w:eastAsia="es-ES"/>
        </w:rPr>
        <w:t xml:space="preserve">”, </w:t>
      </w:r>
      <w:r w:rsidRPr="0080490E">
        <w:rPr>
          <w:rFonts w:asciiTheme="minorHAnsi" w:eastAsia="Times New Roman" w:hAnsiTheme="minorHAnsi" w:cstheme="minorHAnsi"/>
          <w:i/>
          <w:iCs/>
          <w:color w:val="000000"/>
          <w:szCs w:val="24"/>
          <w:lang w:eastAsia="es-ES"/>
        </w:rPr>
        <w:t>Revista de Estudios Europeos</w:t>
      </w:r>
      <w:r w:rsidRPr="0080490E">
        <w:rPr>
          <w:rFonts w:asciiTheme="minorHAnsi" w:eastAsia="Times New Roman" w:hAnsiTheme="minorHAnsi" w:cstheme="minorHAnsi"/>
          <w:color w:val="000000"/>
          <w:szCs w:val="24"/>
          <w:lang w:eastAsia="es-ES"/>
        </w:rPr>
        <w:t>, núm. 70, 2017</w:t>
      </w:r>
      <w:r w:rsidR="002F37DD" w:rsidRPr="0080490E">
        <w:rPr>
          <w:rFonts w:asciiTheme="minorHAnsi" w:eastAsia="Times New Roman" w:hAnsiTheme="minorHAnsi" w:cstheme="minorHAnsi"/>
          <w:color w:val="000000"/>
          <w:szCs w:val="24"/>
          <w:lang w:eastAsia="es-ES"/>
        </w:rPr>
        <w:t>.</w:t>
      </w:r>
    </w:p>
    <w:p w14:paraId="2675758A" w14:textId="502D7441" w:rsidR="00077D79" w:rsidRPr="0080490E" w:rsidRDefault="00077D79"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Recalde Castells</w:t>
      </w:r>
      <w:r w:rsidRPr="0080490E">
        <w:rPr>
          <w:rFonts w:asciiTheme="minorHAnsi" w:eastAsia="Times New Roman" w:hAnsiTheme="minorHAnsi" w:cstheme="minorHAnsi"/>
          <w:color w:val="000000"/>
          <w:szCs w:val="24"/>
          <w:lang w:eastAsia="es-ES"/>
        </w:rPr>
        <w:t xml:space="preserve">, Andrés, “Tokens financieros: ¿cuándo importa el «soporte»?”, </w:t>
      </w:r>
      <w:r w:rsidRPr="0080490E">
        <w:rPr>
          <w:rFonts w:asciiTheme="minorHAnsi" w:eastAsia="Times New Roman" w:hAnsiTheme="minorHAnsi" w:cstheme="minorHAnsi"/>
          <w:i/>
          <w:iCs/>
          <w:color w:val="000000"/>
          <w:szCs w:val="24"/>
          <w:lang w:eastAsia="es-ES"/>
        </w:rPr>
        <w:t>Revista de Derecho del Sistema Financiero</w:t>
      </w:r>
      <w:r w:rsidRPr="0080490E">
        <w:rPr>
          <w:rFonts w:asciiTheme="minorHAnsi" w:eastAsia="Times New Roman" w:hAnsiTheme="minorHAnsi" w:cstheme="minorHAnsi"/>
          <w:color w:val="000000"/>
          <w:szCs w:val="24"/>
          <w:lang w:eastAsia="es-ES"/>
        </w:rPr>
        <w:t>, núm. 7, 2024</w:t>
      </w:r>
      <w:r w:rsidR="00DC61A0" w:rsidRPr="0080490E">
        <w:rPr>
          <w:rFonts w:asciiTheme="minorHAnsi" w:eastAsia="Times New Roman" w:hAnsiTheme="minorHAnsi" w:cstheme="minorHAnsi"/>
          <w:color w:val="000000"/>
          <w:szCs w:val="24"/>
          <w:lang w:eastAsia="es-ES"/>
        </w:rPr>
        <w:t>.</w:t>
      </w:r>
    </w:p>
    <w:p w14:paraId="063DCF24" w14:textId="77BE1080" w:rsidR="00077D79" w:rsidRPr="0080490E" w:rsidRDefault="00077D79"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Rodríguez Martínez</w:t>
      </w:r>
      <w:r w:rsidRPr="0080490E">
        <w:rPr>
          <w:rFonts w:asciiTheme="minorHAnsi" w:eastAsia="Times New Roman" w:hAnsiTheme="minorHAnsi" w:cstheme="minorHAnsi"/>
          <w:color w:val="000000"/>
          <w:szCs w:val="24"/>
          <w:lang w:eastAsia="es-ES"/>
        </w:rPr>
        <w:t xml:space="preserve">, Isabel, “Regulación de las </w:t>
      </w:r>
      <w:proofErr w:type="spellStart"/>
      <w:r w:rsidRPr="0080490E">
        <w:rPr>
          <w:rFonts w:asciiTheme="minorHAnsi" w:eastAsia="Times New Roman" w:hAnsiTheme="minorHAnsi" w:cstheme="minorHAnsi"/>
          <w:color w:val="000000"/>
          <w:szCs w:val="24"/>
          <w:lang w:eastAsia="es-ES"/>
        </w:rPr>
        <w:t>FinTech</w:t>
      </w:r>
      <w:proofErr w:type="spellEnd"/>
      <w:r w:rsidRPr="0080490E">
        <w:rPr>
          <w:rFonts w:asciiTheme="minorHAnsi" w:eastAsia="Times New Roman" w:hAnsiTheme="minorHAnsi" w:cstheme="minorHAnsi"/>
          <w:color w:val="000000"/>
          <w:szCs w:val="24"/>
          <w:lang w:eastAsia="es-ES"/>
        </w:rPr>
        <w:t xml:space="preserve">”, en </w:t>
      </w:r>
      <w:r w:rsidRPr="0080490E">
        <w:rPr>
          <w:rFonts w:asciiTheme="minorHAnsi" w:eastAsia="Times New Roman" w:hAnsiTheme="minorHAnsi" w:cstheme="minorHAnsi"/>
          <w:smallCaps/>
          <w:color w:val="000000"/>
          <w:szCs w:val="24"/>
          <w:lang w:eastAsia="es-ES"/>
        </w:rPr>
        <w:t>Montero Pascual</w:t>
      </w:r>
      <w:r w:rsidR="00696C2C" w:rsidRPr="0080490E">
        <w:rPr>
          <w:rFonts w:asciiTheme="minorHAnsi" w:eastAsia="Times New Roman" w:hAnsiTheme="minorHAnsi" w:cstheme="minorHAnsi"/>
          <w:smallCaps/>
          <w:color w:val="000000"/>
          <w:szCs w:val="24"/>
          <w:lang w:eastAsia="es-ES"/>
        </w:rPr>
        <w:t>,</w:t>
      </w:r>
      <w:r w:rsidRPr="0080490E">
        <w:rPr>
          <w:rFonts w:asciiTheme="minorHAnsi" w:eastAsia="Times New Roman" w:hAnsiTheme="minorHAnsi" w:cstheme="minorHAnsi"/>
          <w:smallCaps/>
          <w:color w:val="000000"/>
          <w:szCs w:val="24"/>
          <w:lang w:eastAsia="es-ES"/>
        </w:rPr>
        <w:t xml:space="preserve"> </w:t>
      </w:r>
      <w:r w:rsidR="00696C2C" w:rsidRPr="0080490E">
        <w:rPr>
          <w:rFonts w:asciiTheme="minorHAnsi" w:eastAsia="Times New Roman" w:hAnsiTheme="minorHAnsi" w:cstheme="minorHAnsi"/>
          <w:color w:val="000000"/>
          <w:szCs w:val="24"/>
          <w:lang w:eastAsia="es-ES"/>
        </w:rPr>
        <w:t xml:space="preserve">Juan José </w:t>
      </w:r>
      <w:r w:rsidRPr="0080490E">
        <w:rPr>
          <w:rFonts w:asciiTheme="minorHAnsi" w:eastAsia="Times New Roman" w:hAnsiTheme="minorHAnsi" w:cstheme="minorHAnsi"/>
          <w:color w:val="000000"/>
          <w:szCs w:val="24"/>
          <w:lang w:eastAsia="es-ES"/>
        </w:rPr>
        <w:t xml:space="preserve">(coord.), </w:t>
      </w:r>
      <w:r w:rsidRPr="0080490E">
        <w:rPr>
          <w:rFonts w:asciiTheme="minorHAnsi" w:eastAsia="Times New Roman" w:hAnsiTheme="minorHAnsi" w:cstheme="minorHAnsi"/>
          <w:i/>
          <w:iCs/>
          <w:color w:val="000000"/>
          <w:szCs w:val="24"/>
          <w:lang w:eastAsia="es-ES"/>
        </w:rPr>
        <w:t>La regulación de los servicios digitales</w:t>
      </w:r>
      <w:r w:rsidRPr="0080490E">
        <w:rPr>
          <w:rFonts w:asciiTheme="minorHAnsi" w:eastAsia="Times New Roman" w:hAnsiTheme="minorHAnsi" w:cstheme="minorHAnsi"/>
          <w:color w:val="000000"/>
          <w:szCs w:val="24"/>
          <w:lang w:eastAsia="es-ES"/>
        </w:rPr>
        <w:t>, Tirant lo Blanch, Valencia, 2024.</w:t>
      </w:r>
    </w:p>
    <w:p w14:paraId="287837F8" w14:textId="77777777" w:rsidR="00077D79" w:rsidRPr="0080490E" w:rsidRDefault="00077D79"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Sánchez Gil</w:t>
      </w:r>
      <w:r w:rsidRPr="0080490E">
        <w:rPr>
          <w:rFonts w:asciiTheme="minorHAnsi" w:eastAsia="Times New Roman" w:hAnsiTheme="minorHAnsi" w:cstheme="minorHAnsi"/>
          <w:color w:val="000000"/>
          <w:szCs w:val="24"/>
          <w:lang w:eastAsia="es-ES"/>
        </w:rPr>
        <w:t xml:space="preserve">, Ignacio, “¿Tokens como valores negociables? La aplicabilidad del marco europeo del sector financiero a los criptoactivos”, </w:t>
      </w:r>
      <w:r w:rsidRPr="0080490E">
        <w:rPr>
          <w:rFonts w:asciiTheme="minorHAnsi" w:eastAsia="Times New Roman" w:hAnsiTheme="minorHAnsi" w:cstheme="minorHAnsi"/>
          <w:i/>
          <w:iCs/>
          <w:color w:val="000000"/>
          <w:szCs w:val="24"/>
          <w:lang w:eastAsia="es-ES"/>
        </w:rPr>
        <w:t>Revista General de Derecho de los Sectores Regulados</w:t>
      </w:r>
      <w:r w:rsidRPr="0080490E">
        <w:rPr>
          <w:rFonts w:asciiTheme="minorHAnsi" w:eastAsia="Times New Roman" w:hAnsiTheme="minorHAnsi" w:cstheme="minorHAnsi"/>
          <w:color w:val="000000"/>
          <w:szCs w:val="24"/>
          <w:lang w:eastAsia="es-ES"/>
        </w:rPr>
        <w:t>, núm. 11, 2023.</w:t>
      </w:r>
    </w:p>
    <w:p w14:paraId="4DEB6968" w14:textId="64D1ED0A" w:rsidR="00696C2C" w:rsidRPr="0080490E" w:rsidRDefault="00696C2C" w:rsidP="0080490E">
      <w:pPr>
        <w:tabs>
          <w:tab w:val="left" w:pos="1550"/>
        </w:tabs>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Sánchez Ruiz</w:t>
      </w:r>
      <w:r w:rsidRPr="0080490E">
        <w:rPr>
          <w:rFonts w:asciiTheme="minorHAnsi" w:eastAsia="Times New Roman" w:hAnsiTheme="minorHAnsi" w:cstheme="minorHAnsi"/>
          <w:color w:val="000000"/>
          <w:szCs w:val="24"/>
          <w:lang w:eastAsia="es-ES"/>
        </w:rPr>
        <w:t xml:space="preserve">, Mercedes, “Las normas de conducta de las plataformas de financiación participativa”, en </w:t>
      </w:r>
      <w:r w:rsidRPr="0080490E">
        <w:rPr>
          <w:rFonts w:asciiTheme="minorHAnsi" w:eastAsia="Times New Roman" w:hAnsiTheme="minorHAnsi" w:cstheme="minorHAnsi"/>
          <w:smallCaps/>
          <w:color w:val="000000"/>
          <w:szCs w:val="24"/>
          <w:lang w:eastAsia="es-ES"/>
        </w:rPr>
        <w:t>Lázaro Sánchez</w:t>
      </w:r>
      <w:r w:rsidR="004F2BB6" w:rsidRPr="0080490E">
        <w:rPr>
          <w:rFonts w:asciiTheme="minorHAnsi" w:eastAsia="Times New Roman" w:hAnsiTheme="minorHAnsi" w:cstheme="minorHAnsi"/>
          <w:smallCaps/>
          <w:color w:val="000000"/>
          <w:szCs w:val="24"/>
          <w:lang w:eastAsia="es-ES"/>
        </w:rPr>
        <w:t>,</w:t>
      </w:r>
      <w:r w:rsidRPr="0080490E">
        <w:rPr>
          <w:rFonts w:asciiTheme="minorHAnsi" w:eastAsia="Times New Roman" w:hAnsiTheme="minorHAnsi" w:cstheme="minorHAnsi"/>
          <w:color w:val="000000"/>
          <w:szCs w:val="24"/>
          <w:lang w:eastAsia="es-ES"/>
        </w:rPr>
        <w:t xml:space="preserve"> </w:t>
      </w:r>
      <w:r w:rsidRPr="0080490E">
        <w:rPr>
          <w:rFonts w:asciiTheme="minorHAnsi" w:hAnsiTheme="minorHAnsi" w:cstheme="minorHAnsi"/>
          <w:szCs w:val="24"/>
        </w:rPr>
        <w:t>Emilio Jesús/</w:t>
      </w:r>
      <w:r w:rsidR="00675668" w:rsidRPr="0080490E">
        <w:rPr>
          <w:rFonts w:asciiTheme="minorHAnsi" w:hAnsiTheme="minorHAnsi" w:cstheme="minorHAnsi"/>
          <w:smallCaps/>
          <w:szCs w:val="24"/>
        </w:rPr>
        <w:t>D</w:t>
      </w:r>
      <w:r w:rsidRPr="0080490E">
        <w:rPr>
          <w:rFonts w:asciiTheme="minorHAnsi" w:hAnsiTheme="minorHAnsi" w:cstheme="minorHAnsi"/>
          <w:smallCaps/>
          <w:szCs w:val="24"/>
        </w:rPr>
        <w:t xml:space="preserve">e Vega García, </w:t>
      </w:r>
      <w:r w:rsidRPr="0080490E">
        <w:rPr>
          <w:rFonts w:asciiTheme="minorHAnsi" w:hAnsiTheme="minorHAnsi" w:cstheme="minorHAnsi"/>
          <w:szCs w:val="24"/>
        </w:rPr>
        <w:t xml:space="preserve">Fernando </w:t>
      </w:r>
      <w:r w:rsidRPr="0080490E">
        <w:rPr>
          <w:rFonts w:asciiTheme="minorHAnsi" w:eastAsia="Times New Roman" w:hAnsiTheme="minorHAnsi" w:cstheme="minorHAnsi"/>
          <w:color w:val="000000"/>
          <w:szCs w:val="24"/>
          <w:lang w:eastAsia="es-ES"/>
        </w:rPr>
        <w:t xml:space="preserve">(dirs.), </w:t>
      </w:r>
      <w:r w:rsidRPr="0080490E">
        <w:rPr>
          <w:rFonts w:asciiTheme="minorHAnsi" w:eastAsia="Times New Roman" w:hAnsiTheme="minorHAnsi" w:cstheme="minorHAnsi"/>
          <w:i/>
          <w:iCs/>
          <w:color w:val="000000"/>
          <w:szCs w:val="24"/>
          <w:lang w:eastAsia="es-ES"/>
        </w:rPr>
        <w:lastRenderedPageBreak/>
        <w:t>Crowdfunding: cooperación colectiva al servicio de la financiación</w:t>
      </w:r>
      <w:r w:rsidRPr="0080490E">
        <w:rPr>
          <w:rFonts w:asciiTheme="minorHAnsi" w:eastAsia="Times New Roman" w:hAnsiTheme="minorHAnsi" w:cstheme="minorHAnsi"/>
          <w:color w:val="000000"/>
          <w:szCs w:val="24"/>
          <w:lang w:eastAsia="es-ES"/>
        </w:rPr>
        <w:t>,</w:t>
      </w:r>
      <w:r w:rsidR="00F31F67" w:rsidRPr="0080490E">
        <w:rPr>
          <w:rFonts w:asciiTheme="minorHAnsi" w:eastAsia="Times New Roman" w:hAnsiTheme="minorHAnsi" w:cstheme="minorHAnsi"/>
          <w:color w:val="000000"/>
          <w:szCs w:val="24"/>
          <w:lang w:eastAsia="es-ES"/>
        </w:rPr>
        <w:t xml:space="preserve"> </w:t>
      </w:r>
      <w:r w:rsidRPr="0080490E">
        <w:rPr>
          <w:rFonts w:asciiTheme="minorHAnsi" w:eastAsia="Times New Roman" w:hAnsiTheme="minorHAnsi" w:cstheme="minorHAnsi"/>
          <w:color w:val="000000"/>
          <w:szCs w:val="24"/>
          <w:lang w:eastAsia="es-ES"/>
        </w:rPr>
        <w:t>Aranzadi, Cizur Menor, 2018.</w:t>
      </w:r>
    </w:p>
    <w:p w14:paraId="141C558A" w14:textId="7E9CF0D9" w:rsidR="00696C2C" w:rsidRPr="0080490E" w:rsidRDefault="00696C2C"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Tapia Frade</w:t>
      </w:r>
      <w:r w:rsidRPr="0080490E">
        <w:rPr>
          <w:rFonts w:asciiTheme="minorHAnsi" w:eastAsia="Times New Roman" w:hAnsiTheme="minorHAnsi" w:cstheme="minorHAnsi"/>
          <w:color w:val="000000"/>
          <w:szCs w:val="24"/>
          <w:lang w:eastAsia="es-ES"/>
        </w:rPr>
        <w:t xml:space="preserve">, Antonio, “Las ofertas públicas de criptoactivos distintos de fichas referenciadas a activos o fichas de dinero electrónico como medio alternativo de financiación en la propuesta de Reglamento MiCA”, </w:t>
      </w:r>
      <w:r w:rsidRPr="0080490E">
        <w:rPr>
          <w:rFonts w:asciiTheme="minorHAnsi" w:eastAsia="Times New Roman" w:hAnsiTheme="minorHAnsi" w:cstheme="minorHAnsi"/>
          <w:i/>
          <w:iCs/>
          <w:color w:val="000000"/>
          <w:szCs w:val="24"/>
          <w:lang w:eastAsia="es-ES"/>
        </w:rPr>
        <w:t>La Ley Mercantil</w:t>
      </w:r>
      <w:r w:rsidRPr="0080490E">
        <w:rPr>
          <w:rFonts w:asciiTheme="minorHAnsi" w:eastAsia="Times New Roman" w:hAnsiTheme="minorHAnsi" w:cstheme="minorHAnsi"/>
          <w:color w:val="000000"/>
          <w:szCs w:val="24"/>
          <w:lang w:eastAsia="es-ES"/>
        </w:rPr>
        <w:t>, núm. 99, 2023</w:t>
      </w:r>
      <w:r w:rsidR="00DC61A0" w:rsidRPr="0080490E">
        <w:rPr>
          <w:rFonts w:asciiTheme="minorHAnsi" w:eastAsia="Times New Roman" w:hAnsiTheme="minorHAnsi" w:cstheme="minorHAnsi"/>
          <w:color w:val="000000"/>
          <w:szCs w:val="24"/>
          <w:lang w:eastAsia="es-ES"/>
        </w:rPr>
        <w:t>.</w:t>
      </w:r>
    </w:p>
    <w:p w14:paraId="2836E9AF" w14:textId="77777777" w:rsidR="00696C2C" w:rsidRPr="0080490E" w:rsidRDefault="00696C2C"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Vallés Mallén</w:t>
      </w:r>
      <w:r w:rsidRPr="0080490E">
        <w:rPr>
          <w:rFonts w:asciiTheme="minorHAnsi" w:eastAsia="Times New Roman" w:hAnsiTheme="minorHAnsi" w:cstheme="minorHAnsi"/>
          <w:color w:val="000000"/>
          <w:szCs w:val="24"/>
          <w:lang w:eastAsia="es-ES"/>
        </w:rPr>
        <w:t xml:space="preserve">, Belén, “El préstamo participativo”, </w:t>
      </w:r>
      <w:r w:rsidRPr="0080490E">
        <w:rPr>
          <w:rFonts w:asciiTheme="minorHAnsi" w:eastAsia="Times New Roman" w:hAnsiTheme="minorHAnsi" w:cstheme="minorHAnsi"/>
          <w:i/>
          <w:iCs/>
          <w:color w:val="000000"/>
          <w:szCs w:val="24"/>
          <w:lang w:eastAsia="es-ES"/>
        </w:rPr>
        <w:t xml:space="preserve">Revista </w:t>
      </w:r>
      <w:proofErr w:type="spellStart"/>
      <w:r w:rsidRPr="0080490E">
        <w:rPr>
          <w:rFonts w:asciiTheme="minorHAnsi" w:eastAsia="Times New Roman" w:hAnsiTheme="minorHAnsi" w:cstheme="minorHAnsi"/>
          <w:i/>
          <w:iCs/>
          <w:color w:val="000000"/>
          <w:szCs w:val="24"/>
          <w:lang w:eastAsia="es-ES"/>
        </w:rPr>
        <w:t>CEFLegal</w:t>
      </w:r>
      <w:proofErr w:type="spellEnd"/>
      <w:r w:rsidRPr="0080490E">
        <w:rPr>
          <w:rFonts w:asciiTheme="minorHAnsi" w:eastAsia="Times New Roman" w:hAnsiTheme="minorHAnsi" w:cstheme="minorHAnsi"/>
          <w:color w:val="000000"/>
          <w:szCs w:val="24"/>
          <w:lang w:eastAsia="es-ES"/>
        </w:rPr>
        <w:t>, núm. 222, 2019</w:t>
      </w:r>
    </w:p>
    <w:p w14:paraId="1DA16A54" w14:textId="77777777" w:rsidR="00696C2C" w:rsidRPr="0080490E" w:rsidRDefault="00696C2C"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Valpuesta Gastaminza</w:t>
      </w:r>
      <w:r w:rsidRPr="0080490E">
        <w:rPr>
          <w:rFonts w:asciiTheme="minorHAnsi" w:eastAsia="Times New Roman" w:hAnsiTheme="minorHAnsi" w:cstheme="minorHAnsi"/>
          <w:color w:val="000000"/>
          <w:szCs w:val="24"/>
          <w:lang w:eastAsia="es-ES"/>
        </w:rPr>
        <w:t xml:space="preserve">, Eduardo, “Incumplimiento de la normativa comunitaria MIFD en cuanto a los deberes de información y evaluación del cliente: consecuencias en el ámbito contractual según la jurisprudencia española”, </w:t>
      </w:r>
      <w:r w:rsidRPr="0080490E">
        <w:rPr>
          <w:rFonts w:asciiTheme="minorHAnsi" w:eastAsia="Times New Roman" w:hAnsiTheme="minorHAnsi" w:cstheme="minorHAnsi"/>
          <w:i/>
          <w:iCs/>
          <w:color w:val="000000"/>
          <w:szCs w:val="24"/>
          <w:lang w:eastAsia="es-ES"/>
        </w:rPr>
        <w:t>Cuadernos de Derecho Transnacional</w:t>
      </w:r>
      <w:r w:rsidRPr="0080490E">
        <w:rPr>
          <w:rFonts w:asciiTheme="minorHAnsi" w:eastAsia="Times New Roman" w:hAnsiTheme="minorHAnsi" w:cstheme="minorHAnsi"/>
          <w:color w:val="000000"/>
          <w:szCs w:val="24"/>
          <w:lang w:eastAsia="es-ES"/>
        </w:rPr>
        <w:t>, vol. 8, núm. 1, 2016.</w:t>
      </w:r>
    </w:p>
    <w:p w14:paraId="22E76C2F" w14:textId="4C2D5DCA" w:rsidR="00696C2C" w:rsidRPr="0080490E" w:rsidRDefault="00AA3CC2"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w:t>
      </w:r>
      <w:r w:rsidR="00696C2C" w:rsidRPr="0080490E">
        <w:rPr>
          <w:rFonts w:asciiTheme="minorHAnsi" w:eastAsia="Times New Roman" w:hAnsiTheme="minorHAnsi" w:cstheme="minorHAnsi"/>
          <w:color w:val="000000"/>
          <w:szCs w:val="24"/>
          <w:lang w:eastAsia="es-ES"/>
        </w:rPr>
        <w:t xml:space="preserve"> “Los «criptoactivos» o «tokens»”, en </w:t>
      </w:r>
      <w:r w:rsidR="00696C2C" w:rsidRPr="0080490E">
        <w:rPr>
          <w:rFonts w:asciiTheme="minorHAnsi" w:eastAsia="Times New Roman" w:hAnsiTheme="minorHAnsi" w:cstheme="minorHAnsi"/>
          <w:smallCaps/>
          <w:color w:val="000000"/>
          <w:szCs w:val="24"/>
          <w:lang w:eastAsia="es-ES"/>
        </w:rPr>
        <w:t>Valpuesta Gastaminza</w:t>
      </w:r>
      <w:r w:rsidR="00696C2C" w:rsidRPr="0080490E">
        <w:rPr>
          <w:rFonts w:asciiTheme="minorHAnsi" w:eastAsia="Times New Roman" w:hAnsiTheme="minorHAnsi" w:cstheme="minorHAnsi"/>
          <w:color w:val="000000"/>
          <w:szCs w:val="24"/>
          <w:lang w:eastAsia="es-ES"/>
        </w:rPr>
        <w:t>, Eduardo/</w:t>
      </w:r>
      <w:r w:rsidR="00696C2C" w:rsidRPr="0080490E">
        <w:rPr>
          <w:rFonts w:asciiTheme="minorHAnsi" w:eastAsia="Times New Roman" w:hAnsiTheme="minorHAnsi" w:cstheme="minorHAnsi"/>
          <w:smallCaps/>
          <w:color w:val="000000"/>
          <w:szCs w:val="24"/>
          <w:lang w:eastAsia="es-ES"/>
        </w:rPr>
        <w:t>Hernández Peña</w:t>
      </w:r>
      <w:r w:rsidR="00696C2C" w:rsidRPr="0080490E">
        <w:rPr>
          <w:rFonts w:asciiTheme="minorHAnsi" w:eastAsia="Times New Roman" w:hAnsiTheme="minorHAnsi" w:cstheme="minorHAnsi"/>
          <w:color w:val="000000"/>
          <w:szCs w:val="24"/>
          <w:lang w:eastAsia="es-ES"/>
        </w:rPr>
        <w:t xml:space="preserve">, Juan Carlos (coords.), </w:t>
      </w:r>
      <w:r w:rsidR="00696C2C" w:rsidRPr="0080490E">
        <w:rPr>
          <w:rFonts w:asciiTheme="minorHAnsi" w:eastAsia="Times New Roman" w:hAnsiTheme="minorHAnsi" w:cstheme="minorHAnsi"/>
          <w:i/>
          <w:iCs/>
          <w:color w:val="000000"/>
          <w:szCs w:val="24"/>
          <w:lang w:eastAsia="es-ES"/>
        </w:rPr>
        <w:t>Tratado de Derecho digital</w:t>
      </w:r>
      <w:r w:rsidR="00696C2C" w:rsidRPr="0080490E">
        <w:rPr>
          <w:rFonts w:asciiTheme="minorHAnsi" w:eastAsia="Times New Roman" w:hAnsiTheme="minorHAnsi" w:cstheme="minorHAnsi"/>
          <w:color w:val="000000"/>
          <w:szCs w:val="24"/>
          <w:lang w:eastAsia="es-ES"/>
        </w:rPr>
        <w:t xml:space="preserve">, Wolters </w:t>
      </w:r>
      <w:proofErr w:type="spellStart"/>
      <w:r w:rsidR="00696C2C" w:rsidRPr="0080490E">
        <w:rPr>
          <w:rFonts w:asciiTheme="minorHAnsi" w:eastAsia="Times New Roman" w:hAnsiTheme="minorHAnsi" w:cstheme="minorHAnsi"/>
          <w:color w:val="000000"/>
          <w:szCs w:val="24"/>
          <w:lang w:eastAsia="es-ES"/>
        </w:rPr>
        <w:t>Kluwer</w:t>
      </w:r>
      <w:proofErr w:type="spellEnd"/>
      <w:r w:rsidR="00696C2C" w:rsidRPr="0080490E">
        <w:rPr>
          <w:rFonts w:asciiTheme="minorHAnsi" w:eastAsia="Times New Roman" w:hAnsiTheme="minorHAnsi" w:cstheme="minorHAnsi"/>
          <w:color w:val="000000"/>
          <w:szCs w:val="24"/>
          <w:lang w:eastAsia="es-ES"/>
        </w:rPr>
        <w:t>, Madrid, 2021</w:t>
      </w:r>
      <w:r w:rsidR="00F31F67" w:rsidRPr="0080490E">
        <w:rPr>
          <w:rFonts w:asciiTheme="minorHAnsi" w:eastAsia="Times New Roman" w:hAnsiTheme="minorHAnsi" w:cstheme="minorHAnsi"/>
          <w:color w:val="000000"/>
          <w:szCs w:val="24"/>
          <w:lang w:eastAsia="es-ES"/>
        </w:rPr>
        <w:t>.</w:t>
      </w:r>
    </w:p>
    <w:p w14:paraId="5BDF5B15" w14:textId="5A185DB0" w:rsidR="00696C2C" w:rsidRPr="0080490E" w:rsidRDefault="00696C2C"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 xml:space="preserve">Vicent </w:t>
      </w:r>
      <w:proofErr w:type="spellStart"/>
      <w:r w:rsidRPr="0080490E">
        <w:rPr>
          <w:rFonts w:asciiTheme="minorHAnsi" w:eastAsia="Times New Roman" w:hAnsiTheme="minorHAnsi" w:cstheme="minorHAnsi"/>
          <w:smallCaps/>
          <w:color w:val="000000"/>
          <w:szCs w:val="24"/>
          <w:lang w:eastAsia="es-ES"/>
        </w:rPr>
        <w:t>Chuliá</w:t>
      </w:r>
      <w:proofErr w:type="spellEnd"/>
      <w:r w:rsidRPr="0080490E">
        <w:rPr>
          <w:rFonts w:asciiTheme="minorHAnsi" w:eastAsia="Times New Roman" w:hAnsiTheme="minorHAnsi" w:cstheme="minorHAnsi"/>
          <w:color w:val="000000"/>
          <w:szCs w:val="24"/>
          <w:lang w:eastAsia="es-ES"/>
        </w:rPr>
        <w:t xml:space="preserve">, Francisco, “El contrato de cuentas en participación no es un contrato de sociedad”, </w:t>
      </w:r>
      <w:r w:rsidRPr="0080490E">
        <w:rPr>
          <w:rFonts w:asciiTheme="minorHAnsi" w:eastAsia="Times New Roman" w:hAnsiTheme="minorHAnsi" w:cstheme="minorHAnsi"/>
          <w:i/>
          <w:iCs/>
          <w:color w:val="000000"/>
          <w:szCs w:val="24"/>
          <w:lang w:eastAsia="es-ES"/>
        </w:rPr>
        <w:t>La Notaría</w:t>
      </w:r>
      <w:r w:rsidRPr="0080490E">
        <w:rPr>
          <w:rFonts w:asciiTheme="minorHAnsi" w:eastAsia="Times New Roman" w:hAnsiTheme="minorHAnsi" w:cstheme="minorHAnsi"/>
          <w:color w:val="000000"/>
          <w:szCs w:val="24"/>
          <w:lang w:eastAsia="es-ES"/>
        </w:rPr>
        <w:t>, núm. 2-3, 2016</w:t>
      </w:r>
      <w:r w:rsidR="00F31F67" w:rsidRPr="0080490E">
        <w:rPr>
          <w:rFonts w:asciiTheme="minorHAnsi" w:eastAsia="Times New Roman" w:hAnsiTheme="minorHAnsi" w:cstheme="minorHAnsi"/>
          <w:color w:val="000000"/>
          <w:szCs w:val="24"/>
          <w:lang w:eastAsia="es-ES"/>
        </w:rPr>
        <w:t>.</w:t>
      </w:r>
    </w:p>
    <w:p w14:paraId="36011B16" w14:textId="518BF556" w:rsidR="00077D79" w:rsidRPr="0080490E" w:rsidRDefault="00696C2C"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Villanueva Redondo</w:t>
      </w:r>
      <w:r w:rsidRPr="0080490E">
        <w:rPr>
          <w:rFonts w:asciiTheme="minorHAnsi" w:eastAsia="Times New Roman" w:hAnsiTheme="minorHAnsi" w:cstheme="minorHAnsi"/>
          <w:color w:val="000000"/>
          <w:szCs w:val="24"/>
          <w:lang w:eastAsia="es-ES"/>
        </w:rPr>
        <w:t>, Javier/</w:t>
      </w:r>
      <w:r w:rsidRPr="0080490E">
        <w:rPr>
          <w:rFonts w:asciiTheme="minorHAnsi" w:eastAsia="Times New Roman" w:hAnsiTheme="minorHAnsi" w:cstheme="minorHAnsi"/>
          <w:smallCaps/>
          <w:color w:val="000000"/>
          <w:szCs w:val="24"/>
          <w:lang w:eastAsia="es-ES"/>
        </w:rPr>
        <w:t xml:space="preserve">Vecino </w:t>
      </w:r>
      <w:proofErr w:type="spellStart"/>
      <w:r w:rsidRPr="0080490E">
        <w:rPr>
          <w:rFonts w:asciiTheme="minorHAnsi" w:eastAsia="Times New Roman" w:hAnsiTheme="minorHAnsi" w:cstheme="minorHAnsi"/>
          <w:smallCaps/>
          <w:color w:val="000000"/>
          <w:szCs w:val="24"/>
          <w:lang w:eastAsia="es-ES"/>
        </w:rPr>
        <w:t>Bécares</w:t>
      </w:r>
      <w:proofErr w:type="spellEnd"/>
      <w:r w:rsidRPr="0080490E">
        <w:rPr>
          <w:rFonts w:asciiTheme="minorHAnsi" w:eastAsia="Times New Roman" w:hAnsiTheme="minorHAnsi" w:cstheme="minorHAnsi"/>
          <w:color w:val="000000"/>
          <w:szCs w:val="24"/>
          <w:lang w:eastAsia="es-ES"/>
        </w:rPr>
        <w:t xml:space="preserve">, Víctor, “Tokenización: Una nueva forma de inversión en activos inmobiliarios” en </w:t>
      </w:r>
      <w:r w:rsidRPr="0080490E">
        <w:rPr>
          <w:rFonts w:asciiTheme="minorHAnsi" w:eastAsia="Times New Roman" w:hAnsiTheme="minorHAnsi" w:cstheme="minorHAnsi"/>
          <w:smallCaps/>
          <w:color w:val="000000"/>
          <w:szCs w:val="24"/>
          <w:lang w:eastAsia="es-ES"/>
        </w:rPr>
        <w:t>Ortega Burgos</w:t>
      </w:r>
      <w:r w:rsidRPr="0080490E">
        <w:rPr>
          <w:rFonts w:asciiTheme="minorHAnsi" w:eastAsia="Times New Roman" w:hAnsiTheme="minorHAnsi" w:cstheme="minorHAnsi"/>
          <w:color w:val="000000"/>
          <w:szCs w:val="24"/>
          <w:lang w:eastAsia="es-ES"/>
        </w:rPr>
        <w:t>, Enrique (dir.),</w:t>
      </w:r>
      <w:r w:rsidRPr="0080490E">
        <w:rPr>
          <w:rFonts w:asciiTheme="minorHAnsi" w:eastAsia="Times New Roman" w:hAnsiTheme="minorHAnsi" w:cstheme="minorHAnsi"/>
          <w:i/>
          <w:iCs/>
          <w:color w:val="000000"/>
          <w:szCs w:val="24"/>
          <w:lang w:eastAsia="es-ES"/>
        </w:rPr>
        <w:t xml:space="preserve"> Nuevas tecnologías 2023</w:t>
      </w:r>
      <w:r w:rsidRPr="0080490E">
        <w:rPr>
          <w:rFonts w:asciiTheme="minorHAnsi" w:eastAsia="Times New Roman" w:hAnsiTheme="minorHAnsi" w:cstheme="minorHAnsi"/>
          <w:color w:val="000000"/>
          <w:szCs w:val="24"/>
          <w:lang w:eastAsia="es-ES"/>
        </w:rPr>
        <w:t>, Tirant lo Blanch, Valencia, 2023.</w:t>
      </w:r>
    </w:p>
    <w:p w14:paraId="77AD4D9C" w14:textId="696B7EC7" w:rsidR="00F209C7" w:rsidRPr="0080490E" w:rsidRDefault="00F209C7" w:rsidP="0080490E">
      <w:pPr>
        <w:spacing w:after="0" w:line="276" w:lineRule="auto"/>
        <w:ind w:firstLine="0"/>
        <w:rPr>
          <w:rFonts w:asciiTheme="minorHAnsi" w:eastAsia="Times New Roman" w:hAnsiTheme="minorHAnsi" w:cstheme="minorHAnsi"/>
          <w:color w:val="000000"/>
          <w:szCs w:val="24"/>
          <w:lang w:eastAsia="es-ES"/>
        </w:rPr>
      </w:pPr>
      <w:proofErr w:type="spellStart"/>
      <w:r w:rsidRPr="0080490E">
        <w:rPr>
          <w:rFonts w:asciiTheme="minorHAnsi" w:eastAsia="Times New Roman" w:hAnsiTheme="minorHAnsi" w:cstheme="minorHAnsi"/>
          <w:smallCaps/>
          <w:color w:val="000000"/>
          <w:szCs w:val="24"/>
          <w:lang w:eastAsia="es-ES"/>
        </w:rPr>
        <w:t>Viñuelas</w:t>
      </w:r>
      <w:proofErr w:type="spellEnd"/>
      <w:r w:rsidRPr="0080490E">
        <w:rPr>
          <w:rFonts w:asciiTheme="minorHAnsi" w:eastAsia="Times New Roman" w:hAnsiTheme="minorHAnsi" w:cstheme="minorHAnsi"/>
          <w:smallCaps/>
          <w:color w:val="000000"/>
          <w:szCs w:val="24"/>
          <w:lang w:eastAsia="es-ES"/>
        </w:rPr>
        <w:t xml:space="preserve"> Sanz</w:t>
      </w:r>
      <w:r w:rsidRPr="0080490E">
        <w:rPr>
          <w:rFonts w:asciiTheme="minorHAnsi" w:eastAsia="Times New Roman" w:hAnsiTheme="minorHAnsi" w:cstheme="minorHAnsi"/>
          <w:color w:val="000000"/>
          <w:szCs w:val="24"/>
          <w:lang w:eastAsia="es-ES"/>
        </w:rPr>
        <w:t xml:space="preserve">, Margarita, “Los préstamos participativos”, </w:t>
      </w:r>
      <w:r w:rsidRPr="0080490E">
        <w:rPr>
          <w:rFonts w:asciiTheme="minorHAnsi" w:eastAsia="Times New Roman" w:hAnsiTheme="minorHAnsi" w:cstheme="minorHAnsi"/>
          <w:i/>
          <w:iCs/>
          <w:color w:val="000000"/>
          <w:szCs w:val="24"/>
          <w:lang w:eastAsia="es-ES"/>
        </w:rPr>
        <w:t>Revista de Derecho Mercantil</w:t>
      </w:r>
      <w:r w:rsidRPr="0080490E">
        <w:rPr>
          <w:rFonts w:asciiTheme="minorHAnsi" w:eastAsia="Times New Roman" w:hAnsiTheme="minorHAnsi" w:cstheme="minorHAnsi"/>
          <w:color w:val="000000"/>
          <w:szCs w:val="24"/>
          <w:lang w:eastAsia="es-ES"/>
        </w:rPr>
        <w:t>, núm. 315, 2017.</w:t>
      </w:r>
    </w:p>
    <w:p w14:paraId="32F72573" w14:textId="71E2FF7E" w:rsidR="00F209C7" w:rsidRPr="0080490E" w:rsidRDefault="00F209C7" w:rsidP="0080490E">
      <w:pPr>
        <w:spacing w:after="0" w:line="276" w:lineRule="auto"/>
        <w:ind w:firstLine="0"/>
        <w:rPr>
          <w:rFonts w:asciiTheme="minorHAnsi" w:eastAsia="Times New Roman" w:hAnsiTheme="minorHAnsi" w:cstheme="minorHAnsi"/>
          <w:color w:val="000000"/>
          <w:szCs w:val="24"/>
          <w:lang w:eastAsia="es-ES"/>
        </w:rPr>
      </w:pPr>
      <w:r w:rsidRPr="0080490E">
        <w:rPr>
          <w:rFonts w:asciiTheme="minorHAnsi" w:eastAsia="Times New Roman" w:hAnsiTheme="minorHAnsi" w:cstheme="minorHAnsi"/>
          <w:smallCaps/>
          <w:color w:val="000000"/>
          <w:szCs w:val="24"/>
          <w:lang w:eastAsia="es-ES"/>
        </w:rPr>
        <w:t>Zunzunegui</w:t>
      </w:r>
      <w:r w:rsidRPr="0080490E">
        <w:rPr>
          <w:rFonts w:asciiTheme="minorHAnsi" w:eastAsia="Times New Roman" w:hAnsiTheme="minorHAnsi" w:cstheme="minorHAnsi"/>
          <w:color w:val="000000"/>
          <w:szCs w:val="24"/>
          <w:lang w:eastAsia="es-ES"/>
        </w:rPr>
        <w:t>, Fernando, “Régimen jurídico de las plataformas de financiación participativa (crow</w:t>
      </w:r>
      <w:r w:rsidR="004F2BB6" w:rsidRPr="0080490E">
        <w:rPr>
          <w:rFonts w:asciiTheme="minorHAnsi" w:eastAsia="Times New Roman" w:hAnsiTheme="minorHAnsi" w:cstheme="minorHAnsi"/>
          <w:color w:val="000000"/>
          <w:szCs w:val="24"/>
          <w:lang w:eastAsia="es-ES"/>
        </w:rPr>
        <w:t>d</w:t>
      </w:r>
      <w:r w:rsidRPr="0080490E">
        <w:rPr>
          <w:rFonts w:asciiTheme="minorHAnsi" w:eastAsia="Times New Roman" w:hAnsiTheme="minorHAnsi" w:cstheme="minorHAnsi"/>
          <w:color w:val="000000"/>
          <w:szCs w:val="24"/>
          <w:lang w:eastAsia="es-ES"/>
        </w:rPr>
        <w:t xml:space="preserve">funding)”, </w:t>
      </w:r>
      <w:r w:rsidRPr="0080490E">
        <w:rPr>
          <w:rFonts w:asciiTheme="minorHAnsi" w:eastAsia="Times New Roman" w:hAnsiTheme="minorHAnsi" w:cstheme="minorHAnsi"/>
          <w:i/>
          <w:iCs/>
          <w:color w:val="000000"/>
          <w:szCs w:val="24"/>
          <w:lang w:eastAsia="es-ES"/>
        </w:rPr>
        <w:t>Revista de Derecho del Mercado Financiero</w:t>
      </w:r>
      <w:r w:rsidRPr="0080490E">
        <w:rPr>
          <w:rFonts w:asciiTheme="minorHAnsi" w:eastAsia="Times New Roman" w:hAnsiTheme="minorHAnsi" w:cstheme="minorHAnsi"/>
          <w:color w:val="000000"/>
          <w:szCs w:val="24"/>
          <w:lang w:eastAsia="es-ES"/>
        </w:rPr>
        <w:t xml:space="preserve">, </w:t>
      </w:r>
      <w:proofErr w:type="spellStart"/>
      <w:r w:rsidRPr="0080490E">
        <w:rPr>
          <w:rFonts w:asciiTheme="minorHAnsi" w:eastAsia="Times New Roman" w:hAnsiTheme="minorHAnsi" w:cstheme="minorHAnsi"/>
          <w:color w:val="000000"/>
          <w:szCs w:val="24"/>
          <w:lang w:eastAsia="es-ES"/>
        </w:rPr>
        <w:t>Working</w:t>
      </w:r>
      <w:proofErr w:type="spellEnd"/>
      <w:r w:rsidRPr="0080490E">
        <w:rPr>
          <w:rFonts w:asciiTheme="minorHAnsi" w:eastAsia="Times New Roman" w:hAnsiTheme="minorHAnsi" w:cstheme="minorHAnsi"/>
          <w:color w:val="000000"/>
          <w:szCs w:val="24"/>
          <w:lang w:eastAsia="es-ES"/>
        </w:rPr>
        <w:t xml:space="preserve"> </w:t>
      </w:r>
      <w:proofErr w:type="spellStart"/>
      <w:r w:rsidRPr="0080490E">
        <w:rPr>
          <w:rFonts w:asciiTheme="minorHAnsi" w:eastAsia="Times New Roman" w:hAnsiTheme="minorHAnsi" w:cstheme="minorHAnsi"/>
          <w:color w:val="000000"/>
          <w:szCs w:val="24"/>
          <w:lang w:eastAsia="es-ES"/>
        </w:rPr>
        <w:t>Paper</w:t>
      </w:r>
      <w:proofErr w:type="spellEnd"/>
      <w:r w:rsidRPr="0080490E">
        <w:rPr>
          <w:rFonts w:asciiTheme="minorHAnsi" w:eastAsia="Times New Roman" w:hAnsiTheme="minorHAnsi" w:cstheme="minorHAnsi"/>
          <w:color w:val="000000"/>
          <w:szCs w:val="24"/>
          <w:lang w:eastAsia="es-ES"/>
        </w:rPr>
        <w:t xml:space="preserve"> 3/2015.</w:t>
      </w:r>
    </w:p>
    <w:sectPr w:rsidR="00F209C7" w:rsidRPr="0080490E" w:rsidSect="00C3529A">
      <w:footnotePr>
        <w:numRestart w:val="eachSect"/>
      </w:footnotePr>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52D10" w14:textId="77777777" w:rsidR="000679D4" w:rsidRPr="0006209E" w:rsidRDefault="000679D4" w:rsidP="003E0863">
      <w:pPr>
        <w:spacing w:after="0" w:line="240" w:lineRule="auto"/>
      </w:pPr>
      <w:r w:rsidRPr="0006209E">
        <w:separator/>
      </w:r>
    </w:p>
  </w:endnote>
  <w:endnote w:type="continuationSeparator" w:id="0">
    <w:p w14:paraId="4B64C7B1" w14:textId="77777777" w:rsidR="000679D4" w:rsidRPr="0006209E" w:rsidRDefault="000679D4" w:rsidP="003E0863">
      <w:pPr>
        <w:spacing w:after="0" w:line="240" w:lineRule="auto"/>
      </w:pPr>
      <w:r w:rsidRPr="000620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arrow">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376013605"/>
      <w:docPartObj>
        <w:docPartGallery w:val="Page Numbers (Bottom of Page)"/>
        <w:docPartUnique/>
      </w:docPartObj>
    </w:sdtPr>
    <w:sdtContent>
      <w:p w14:paraId="7E953453" w14:textId="716354E7" w:rsidR="000F4D2A" w:rsidRPr="0006209E" w:rsidRDefault="000F4D2A">
        <w:pPr>
          <w:pStyle w:val="Piedepgina"/>
          <w:jc w:val="right"/>
          <w:rPr>
            <w:rFonts w:asciiTheme="minorHAnsi" w:hAnsiTheme="minorHAnsi" w:cstheme="minorHAnsi"/>
          </w:rPr>
        </w:pPr>
        <w:r w:rsidRPr="0006209E">
          <w:rPr>
            <w:rFonts w:asciiTheme="minorHAnsi" w:hAnsiTheme="minorHAnsi" w:cstheme="minorHAnsi"/>
          </w:rPr>
          <w:fldChar w:fldCharType="begin"/>
        </w:r>
        <w:r w:rsidRPr="0006209E">
          <w:rPr>
            <w:rFonts w:asciiTheme="minorHAnsi" w:hAnsiTheme="minorHAnsi" w:cstheme="minorHAnsi"/>
          </w:rPr>
          <w:instrText>PAGE   \* MERGEFORMAT</w:instrText>
        </w:r>
        <w:r w:rsidRPr="0006209E">
          <w:rPr>
            <w:rFonts w:asciiTheme="minorHAnsi" w:hAnsiTheme="minorHAnsi" w:cstheme="minorHAnsi"/>
          </w:rPr>
          <w:fldChar w:fldCharType="separate"/>
        </w:r>
        <w:r w:rsidR="00B843B8" w:rsidRPr="0006209E">
          <w:rPr>
            <w:rFonts w:asciiTheme="minorHAnsi" w:hAnsiTheme="minorHAnsi" w:cstheme="minorHAnsi"/>
          </w:rPr>
          <w:t>7</w:t>
        </w:r>
        <w:r w:rsidRPr="0006209E">
          <w:rPr>
            <w:rFonts w:asciiTheme="minorHAnsi" w:hAnsiTheme="minorHAnsi" w:cstheme="minorHAnsi"/>
          </w:rPr>
          <w:fldChar w:fldCharType="end"/>
        </w:r>
      </w:p>
    </w:sdtContent>
  </w:sdt>
  <w:p w14:paraId="73DC5174" w14:textId="77777777" w:rsidR="000F4D2A" w:rsidRPr="0006209E" w:rsidRDefault="000F4D2A">
    <w:pPr>
      <w:pStyle w:val="Piedepgina"/>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1E9C5" w14:textId="77777777" w:rsidR="000679D4" w:rsidRPr="0006209E" w:rsidRDefault="000679D4" w:rsidP="006D5F98">
      <w:pPr>
        <w:spacing w:after="0" w:line="240" w:lineRule="auto"/>
        <w:ind w:firstLine="0"/>
      </w:pPr>
      <w:r w:rsidRPr="0006209E">
        <w:separator/>
      </w:r>
    </w:p>
  </w:footnote>
  <w:footnote w:type="continuationSeparator" w:id="0">
    <w:p w14:paraId="253E1B9A" w14:textId="77777777" w:rsidR="000679D4" w:rsidRPr="0006209E" w:rsidRDefault="000679D4" w:rsidP="006D5F98">
      <w:pPr>
        <w:spacing w:after="0" w:line="240" w:lineRule="auto"/>
        <w:ind w:firstLine="0"/>
      </w:pPr>
      <w:r w:rsidRPr="0006209E">
        <w:continuationSeparator/>
      </w:r>
    </w:p>
  </w:footnote>
  <w:footnote w:id="1">
    <w:p w14:paraId="28F681DC" w14:textId="77777777" w:rsidR="000F4D2A" w:rsidRPr="001F4317" w:rsidRDefault="000F4D2A" w:rsidP="001F4317">
      <w:pPr>
        <w:pStyle w:val="Textonotapie"/>
        <w:rPr>
          <w:rFonts w:asciiTheme="minorHAnsi" w:hAnsiTheme="minorHAnsi" w:cstheme="minorHAnsi"/>
          <w:color w:val="000000"/>
          <w:szCs w:val="20"/>
          <w:lang w:eastAsia="en-US"/>
        </w:rPr>
      </w:pPr>
      <w:r w:rsidRPr="001F4317">
        <w:rPr>
          <w:rStyle w:val="Refdenotaalpie"/>
          <w:rFonts w:asciiTheme="minorHAnsi" w:hAnsiTheme="minorHAnsi" w:cstheme="minorHAnsi"/>
          <w:sz w:val="20"/>
          <w:szCs w:val="20"/>
        </w:rPr>
        <w:footnoteRef/>
      </w:r>
      <w:r w:rsidRPr="001F4317">
        <w:rPr>
          <w:rFonts w:asciiTheme="minorHAnsi" w:hAnsiTheme="minorHAnsi" w:cstheme="minorHAnsi"/>
          <w:color w:val="000000"/>
          <w:szCs w:val="20"/>
          <w:lang w:eastAsia="en-US"/>
        </w:rPr>
        <w:t xml:space="preserve"> </w:t>
      </w:r>
      <w:bookmarkStart w:id="0" w:name="_Hlk176002336"/>
      <w:r w:rsidRPr="001F4317">
        <w:rPr>
          <w:rFonts w:asciiTheme="minorHAnsi" w:hAnsiTheme="minorHAnsi" w:cstheme="minorHAnsi"/>
          <w:color w:val="000000"/>
          <w:szCs w:val="20"/>
          <w:lang w:eastAsia="en-US"/>
        </w:rPr>
        <w:t>El presente trabajo se enmarca en el proyecto de investigación “Desafíos actuales del Registro de la Propiedad: Blockchain y Protección de Datos” (PID2020-113995GB-I00) financiado por el Ministerio de Ciencia e Innovación.</w:t>
      </w:r>
      <w:bookmarkEnd w:id="0"/>
    </w:p>
    <w:p w14:paraId="3E422701" w14:textId="386BE30D" w:rsidR="000F4D2A" w:rsidRPr="001F4317" w:rsidRDefault="000F4D2A" w:rsidP="001F4317">
      <w:pPr>
        <w:pStyle w:val="Textonotapie"/>
        <w:rPr>
          <w:rFonts w:asciiTheme="minorHAnsi" w:hAnsiTheme="minorHAnsi" w:cstheme="minorHAnsi"/>
          <w:szCs w:val="20"/>
        </w:rPr>
      </w:pPr>
      <w:r w:rsidRPr="001F4317">
        <w:rPr>
          <w:rFonts w:asciiTheme="minorHAnsi" w:hAnsiTheme="minorHAnsi" w:cstheme="minorHAnsi"/>
          <w:color w:val="000000"/>
          <w:szCs w:val="20"/>
          <w:lang w:eastAsia="en-US"/>
        </w:rPr>
        <w:t xml:space="preserve">Quisiera agradecer la disponibilidad de los miembros del equipo </w:t>
      </w:r>
      <w:r w:rsidR="00FC6D28" w:rsidRPr="001F4317">
        <w:rPr>
          <w:rFonts w:asciiTheme="minorHAnsi" w:hAnsiTheme="minorHAnsi" w:cstheme="minorHAnsi"/>
          <w:color w:val="000000"/>
          <w:szCs w:val="20"/>
          <w:lang w:eastAsia="en-US"/>
        </w:rPr>
        <w:t xml:space="preserve">directivo </w:t>
      </w:r>
      <w:r w:rsidRPr="001F4317">
        <w:rPr>
          <w:rFonts w:asciiTheme="minorHAnsi" w:hAnsiTheme="minorHAnsi" w:cstheme="minorHAnsi"/>
          <w:color w:val="000000"/>
          <w:szCs w:val="20"/>
          <w:lang w:eastAsia="en-US"/>
        </w:rPr>
        <w:t xml:space="preserve">de </w:t>
      </w:r>
      <w:proofErr w:type="spellStart"/>
      <w:r w:rsidRPr="001F4317">
        <w:rPr>
          <w:rFonts w:asciiTheme="minorHAnsi" w:hAnsiTheme="minorHAnsi" w:cstheme="minorHAnsi"/>
          <w:color w:val="000000"/>
          <w:szCs w:val="20"/>
          <w:lang w:eastAsia="en-US"/>
        </w:rPr>
        <w:t>Reental</w:t>
      </w:r>
      <w:proofErr w:type="spellEnd"/>
      <w:r w:rsidRPr="001F4317">
        <w:rPr>
          <w:rFonts w:asciiTheme="minorHAnsi" w:hAnsiTheme="minorHAnsi" w:cstheme="minorHAnsi"/>
          <w:color w:val="000000"/>
          <w:szCs w:val="20"/>
          <w:lang w:eastAsia="en-US"/>
        </w:rPr>
        <w:t xml:space="preserve"> (www.reental.co) por compartir conmigo su visión y perspectivas de los aspectos empresariales tratados en este trabajo. Con todo, las opiniones y conclusiones que aquí se recogen son responsabilidad exclusiva del autor.</w:t>
      </w:r>
    </w:p>
  </w:footnote>
  <w:footnote w:id="2">
    <w:p w14:paraId="64C571D2" w14:textId="4002E073"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bookmarkStart w:id="1" w:name="_Hlk172566118"/>
      <w:r w:rsidRPr="001F4317">
        <w:rPr>
          <w:rFonts w:asciiTheme="minorHAnsi" w:hAnsiTheme="minorHAnsi" w:cstheme="minorHAnsi"/>
          <w:smallCaps/>
          <w:szCs w:val="20"/>
        </w:rPr>
        <w:t>Bueso Guillén</w:t>
      </w:r>
      <w:r w:rsidRPr="001F4317">
        <w:rPr>
          <w:rFonts w:asciiTheme="minorHAnsi" w:hAnsiTheme="minorHAnsi" w:cstheme="minorHAnsi"/>
          <w:szCs w:val="20"/>
        </w:rPr>
        <w:t xml:space="preserve">, </w:t>
      </w:r>
      <w:r w:rsidR="00341A69" w:rsidRPr="001F4317">
        <w:rPr>
          <w:rFonts w:asciiTheme="minorHAnsi" w:hAnsiTheme="minorHAnsi" w:cstheme="minorHAnsi"/>
          <w:szCs w:val="20"/>
        </w:rPr>
        <w:t xml:space="preserve">Pedro José, </w:t>
      </w:r>
      <w:r w:rsidRPr="001F4317">
        <w:rPr>
          <w:rFonts w:asciiTheme="minorHAnsi" w:hAnsiTheme="minorHAnsi" w:cstheme="minorHAnsi"/>
          <w:szCs w:val="20"/>
        </w:rPr>
        <w:t xml:space="preserve">“La sociedad anónima cotizada de inversión en el mercado inmobiliario (SOCIMI) como instrumento jurídico-mercantil para una política de fomento del mercado de alquiler de viviendas”, en </w:t>
      </w:r>
      <w:r w:rsidRPr="001F4317">
        <w:rPr>
          <w:rFonts w:asciiTheme="minorHAnsi" w:hAnsiTheme="minorHAnsi" w:cstheme="minorHAnsi"/>
          <w:smallCaps/>
          <w:szCs w:val="20"/>
        </w:rPr>
        <w:t>Alonso Pérez</w:t>
      </w:r>
      <w:r w:rsidR="00341A69" w:rsidRPr="001F4317">
        <w:rPr>
          <w:rFonts w:asciiTheme="minorHAnsi" w:hAnsiTheme="minorHAnsi" w:cstheme="minorHAnsi"/>
          <w:szCs w:val="20"/>
        </w:rPr>
        <w:t xml:space="preserve">, María Teresa </w:t>
      </w:r>
      <w:r w:rsidRPr="001F4317">
        <w:rPr>
          <w:rFonts w:asciiTheme="minorHAnsi" w:hAnsiTheme="minorHAnsi" w:cstheme="minorHAnsi"/>
          <w:szCs w:val="20"/>
        </w:rPr>
        <w:t xml:space="preserve">(dir.), </w:t>
      </w:r>
      <w:r w:rsidRPr="001F4317">
        <w:rPr>
          <w:rFonts w:asciiTheme="minorHAnsi" w:hAnsiTheme="minorHAnsi" w:cstheme="minorHAnsi"/>
          <w:i/>
          <w:iCs/>
          <w:szCs w:val="20"/>
        </w:rPr>
        <w:t>Nuevas vías jurídicas de acceso a la vivienda</w:t>
      </w:r>
      <w:r w:rsidRPr="001F4317">
        <w:rPr>
          <w:rFonts w:asciiTheme="minorHAnsi" w:hAnsiTheme="minorHAnsi" w:cstheme="minorHAnsi"/>
          <w:szCs w:val="20"/>
        </w:rPr>
        <w:t>, Aranzadi Thomson Reuters, Cizur Menor, 2018</w:t>
      </w:r>
      <w:bookmarkEnd w:id="1"/>
      <w:r w:rsidRPr="001F4317">
        <w:rPr>
          <w:rFonts w:asciiTheme="minorHAnsi" w:hAnsiTheme="minorHAnsi" w:cstheme="minorHAnsi"/>
          <w:szCs w:val="20"/>
        </w:rPr>
        <w:t>, pgs. 193-227.</w:t>
      </w:r>
    </w:p>
  </w:footnote>
  <w:footnote w:id="3">
    <w:p w14:paraId="7FDDA98B" w14:textId="66D4D994"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bookmarkStart w:id="2" w:name="_Hlk172566167"/>
      <w:r w:rsidRPr="001F4317">
        <w:rPr>
          <w:rFonts w:asciiTheme="minorHAnsi" w:hAnsiTheme="minorHAnsi" w:cstheme="minorHAnsi"/>
          <w:smallCaps/>
          <w:szCs w:val="20"/>
        </w:rPr>
        <w:t>Villanueva Redondo</w:t>
      </w:r>
      <w:r w:rsidR="00341A69" w:rsidRPr="001F4317">
        <w:rPr>
          <w:rFonts w:asciiTheme="minorHAnsi" w:hAnsiTheme="minorHAnsi" w:cstheme="minorHAnsi"/>
          <w:smallCaps/>
          <w:szCs w:val="20"/>
        </w:rPr>
        <w:t xml:space="preserve">, </w:t>
      </w:r>
      <w:r w:rsidR="00341A69" w:rsidRPr="001F4317">
        <w:rPr>
          <w:rFonts w:asciiTheme="minorHAnsi" w:hAnsiTheme="minorHAnsi" w:cstheme="minorHAnsi"/>
          <w:szCs w:val="20"/>
        </w:rPr>
        <w:t>Javier</w:t>
      </w:r>
      <w:r w:rsidRPr="001F4317">
        <w:rPr>
          <w:rFonts w:asciiTheme="minorHAnsi" w:hAnsiTheme="minorHAnsi" w:cstheme="minorHAnsi"/>
          <w:szCs w:val="20"/>
        </w:rPr>
        <w:t>/</w:t>
      </w:r>
      <w:r w:rsidRPr="001F4317">
        <w:rPr>
          <w:rFonts w:asciiTheme="minorHAnsi" w:hAnsiTheme="minorHAnsi" w:cstheme="minorHAnsi"/>
          <w:smallCaps/>
          <w:szCs w:val="20"/>
        </w:rPr>
        <w:t xml:space="preserve">Vecino </w:t>
      </w:r>
      <w:proofErr w:type="spellStart"/>
      <w:r w:rsidRPr="001F4317">
        <w:rPr>
          <w:rFonts w:asciiTheme="minorHAnsi" w:hAnsiTheme="minorHAnsi" w:cstheme="minorHAnsi"/>
          <w:smallCaps/>
          <w:szCs w:val="20"/>
        </w:rPr>
        <w:t>Bécares</w:t>
      </w:r>
      <w:proofErr w:type="spellEnd"/>
      <w:r w:rsidRPr="001F4317">
        <w:rPr>
          <w:rFonts w:asciiTheme="minorHAnsi" w:hAnsiTheme="minorHAnsi" w:cstheme="minorHAnsi"/>
          <w:szCs w:val="20"/>
        </w:rPr>
        <w:t xml:space="preserve">, </w:t>
      </w:r>
      <w:r w:rsidR="00341A69" w:rsidRPr="001F4317">
        <w:rPr>
          <w:rFonts w:asciiTheme="minorHAnsi" w:hAnsiTheme="minorHAnsi" w:cstheme="minorHAnsi"/>
          <w:szCs w:val="20"/>
        </w:rPr>
        <w:t xml:space="preserve">Víctor, </w:t>
      </w:r>
      <w:r w:rsidRPr="001F4317">
        <w:rPr>
          <w:rFonts w:asciiTheme="minorHAnsi" w:hAnsiTheme="minorHAnsi" w:cstheme="minorHAnsi"/>
          <w:szCs w:val="20"/>
        </w:rPr>
        <w:t xml:space="preserve">“Tokenización: Una nueva forma de inversión en activos inmobiliarios”, en </w:t>
      </w:r>
      <w:r w:rsidRPr="001F4317">
        <w:rPr>
          <w:rFonts w:asciiTheme="minorHAnsi" w:hAnsiTheme="minorHAnsi" w:cstheme="minorHAnsi"/>
          <w:smallCaps/>
          <w:szCs w:val="20"/>
        </w:rPr>
        <w:t>Ortega Burgos</w:t>
      </w:r>
      <w:r w:rsidR="00341A69" w:rsidRPr="001F4317">
        <w:rPr>
          <w:rFonts w:asciiTheme="minorHAnsi" w:hAnsiTheme="minorHAnsi" w:cstheme="minorHAnsi"/>
          <w:smallCaps/>
          <w:szCs w:val="20"/>
        </w:rPr>
        <w:t>,</w:t>
      </w:r>
      <w:r w:rsidRPr="001F4317">
        <w:rPr>
          <w:rFonts w:asciiTheme="minorHAnsi" w:hAnsiTheme="minorHAnsi" w:cstheme="minorHAnsi"/>
          <w:szCs w:val="20"/>
        </w:rPr>
        <w:t xml:space="preserve"> </w:t>
      </w:r>
      <w:r w:rsidR="00341A69" w:rsidRPr="001F4317">
        <w:rPr>
          <w:rFonts w:asciiTheme="minorHAnsi" w:hAnsiTheme="minorHAnsi" w:cstheme="minorHAnsi"/>
          <w:szCs w:val="20"/>
        </w:rPr>
        <w:t xml:space="preserve">Enrique </w:t>
      </w:r>
      <w:r w:rsidRPr="001F4317">
        <w:rPr>
          <w:rFonts w:asciiTheme="minorHAnsi" w:hAnsiTheme="minorHAnsi" w:cstheme="minorHAnsi"/>
          <w:szCs w:val="20"/>
        </w:rPr>
        <w:t xml:space="preserve">(dir.), </w:t>
      </w:r>
      <w:r w:rsidRPr="001F4317">
        <w:rPr>
          <w:rFonts w:asciiTheme="minorHAnsi" w:hAnsiTheme="minorHAnsi" w:cstheme="minorHAnsi"/>
          <w:i/>
          <w:szCs w:val="20"/>
        </w:rPr>
        <w:t>Nuevas Tecnologías 2023</w:t>
      </w:r>
      <w:r w:rsidRPr="001F4317">
        <w:rPr>
          <w:rFonts w:asciiTheme="minorHAnsi" w:hAnsiTheme="minorHAnsi" w:cstheme="minorHAnsi"/>
          <w:szCs w:val="20"/>
        </w:rPr>
        <w:t>, Tirant lo Blanch, Valencia, 2023</w:t>
      </w:r>
      <w:bookmarkEnd w:id="2"/>
      <w:r w:rsidRPr="001F4317">
        <w:rPr>
          <w:rFonts w:asciiTheme="minorHAnsi" w:hAnsiTheme="minorHAnsi" w:cstheme="minorHAnsi"/>
          <w:szCs w:val="20"/>
        </w:rPr>
        <w:t>, pg. 568.</w:t>
      </w:r>
    </w:p>
  </w:footnote>
  <w:footnote w:id="4">
    <w:p w14:paraId="254468A0" w14:textId="736A27C7" w:rsidR="00916BDF" w:rsidRPr="001F4317" w:rsidRDefault="00916BDF" w:rsidP="001F4317">
      <w:pPr>
        <w:pBdr>
          <w:top w:val="nil"/>
          <w:left w:val="nil"/>
          <w:bottom w:val="nil"/>
          <w:right w:val="nil"/>
          <w:between w:val="nil"/>
        </w:pBdr>
        <w:spacing w:after="0" w:line="240" w:lineRule="auto"/>
        <w:ind w:firstLine="0"/>
        <w:rPr>
          <w:rFonts w:asciiTheme="minorHAnsi" w:hAnsiTheme="minorHAnsi" w:cstheme="minorHAnsi"/>
          <w:color w:val="000000"/>
          <w:sz w:val="20"/>
          <w:szCs w:val="20"/>
        </w:rPr>
      </w:pPr>
      <w:r w:rsidRPr="001F4317">
        <w:rPr>
          <w:rFonts w:asciiTheme="minorHAnsi" w:hAnsiTheme="minorHAnsi" w:cstheme="minorHAnsi"/>
          <w:sz w:val="20"/>
          <w:szCs w:val="20"/>
          <w:vertAlign w:val="superscript"/>
        </w:rPr>
        <w:footnoteRef/>
      </w:r>
      <w:r w:rsidRPr="0080490E">
        <w:rPr>
          <w:rFonts w:asciiTheme="minorHAnsi" w:hAnsiTheme="minorHAnsi" w:cstheme="minorHAnsi"/>
          <w:color w:val="000000"/>
          <w:sz w:val="20"/>
          <w:szCs w:val="20"/>
          <w:lang w:val="en-AU"/>
        </w:rPr>
        <w:t xml:space="preserve"> </w:t>
      </w:r>
      <w:bookmarkStart w:id="3" w:name="_Hlk172566195"/>
      <w:r w:rsidRPr="0080490E">
        <w:rPr>
          <w:rFonts w:asciiTheme="minorHAnsi" w:hAnsiTheme="minorHAnsi" w:cstheme="minorHAnsi"/>
          <w:smallCaps/>
          <w:color w:val="000000"/>
          <w:sz w:val="20"/>
          <w:szCs w:val="20"/>
          <w:lang w:val="en-AU"/>
        </w:rPr>
        <w:t>Nakamoto</w:t>
      </w:r>
      <w:r w:rsidRPr="0080490E">
        <w:rPr>
          <w:rFonts w:asciiTheme="minorHAnsi" w:hAnsiTheme="minorHAnsi" w:cstheme="minorHAnsi"/>
          <w:color w:val="000000"/>
          <w:sz w:val="20"/>
          <w:szCs w:val="20"/>
          <w:lang w:val="en-AU"/>
        </w:rPr>
        <w:t>, Satoshi, “Bitcoin: a peer-to-peer electronic cash system”</w:t>
      </w:r>
      <w:r w:rsidR="006C128A" w:rsidRPr="0080490E">
        <w:rPr>
          <w:rFonts w:asciiTheme="minorHAnsi" w:hAnsiTheme="minorHAnsi" w:cstheme="minorHAnsi"/>
          <w:color w:val="000000"/>
          <w:sz w:val="20"/>
          <w:szCs w:val="20"/>
          <w:lang w:val="en-AU"/>
        </w:rPr>
        <w:t xml:space="preserve">. </w:t>
      </w:r>
      <w:r w:rsidR="006C128A">
        <w:rPr>
          <w:rFonts w:asciiTheme="minorHAnsi" w:hAnsiTheme="minorHAnsi" w:cstheme="minorHAnsi"/>
          <w:color w:val="000000"/>
          <w:sz w:val="20"/>
          <w:szCs w:val="20"/>
        </w:rPr>
        <w:t xml:space="preserve">Disponible en </w:t>
      </w:r>
      <w:r w:rsidRPr="001F4317">
        <w:rPr>
          <w:rFonts w:asciiTheme="minorHAnsi" w:hAnsiTheme="minorHAnsi" w:cstheme="minorHAnsi"/>
          <w:color w:val="000000"/>
          <w:sz w:val="20"/>
          <w:szCs w:val="20"/>
        </w:rPr>
        <w:t xml:space="preserve">https://bitcoin.org/bitcoin.pdf </w:t>
      </w:r>
      <w:bookmarkEnd w:id="3"/>
      <w:r w:rsidR="006C128A">
        <w:rPr>
          <w:rFonts w:asciiTheme="minorHAnsi" w:hAnsiTheme="minorHAnsi" w:cstheme="minorHAnsi"/>
          <w:color w:val="000000"/>
          <w:sz w:val="20"/>
          <w:szCs w:val="20"/>
        </w:rPr>
        <w:t>[Consulta:</w:t>
      </w:r>
      <w:r w:rsidRPr="001F4317">
        <w:rPr>
          <w:rFonts w:asciiTheme="minorHAnsi" w:hAnsiTheme="minorHAnsi" w:cstheme="minorHAnsi"/>
          <w:color w:val="000000"/>
          <w:sz w:val="20"/>
          <w:szCs w:val="20"/>
        </w:rPr>
        <w:t xml:space="preserve"> </w:t>
      </w:r>
      <w:r w:rsidR="00E348C8" w:rsidRPr="001F4317">
        <w:rPr>
          <w:rFonts w:asciiTheme="minorHAnsi" w:hAnsiTheme="minorHAnsi" w:cstheme="minorHAnsi"/>
          <w:color w:val="000000"/>
          <w:sz w:val="20"/>
          <w:szCs w:val="20"/>
        </w:rPr>
        <w:t>22</w:t>
      </w:r>
      <w:r w:rsidRPr="001F4317">
        <w:rPr>
          <w:rFonts w:asciiTheme="minorHAnsi" w:hAnsiTheme="minorHAnsi" w:cstheme="minorHAnsi"/>
          <w:color w:val="000000"/>
          <w:sz w:val="20"/>
          <w:szCs w:val="20"/>
        </w:rPr>
        <w:t xml:space="preserve"> de </w:t>
      </w:r>
      <w:r w:rsidR="00E348C8" w:rsidRPr="001F4317">
        <w:rPr>
          <w:rFonts w:asciiTheme="minorHAnsi" w:hAnsiTheme="minorHAnsi" w:cstheme="minorHAnsi"/>
          <w:color w:val="000000"/>
          <w:sz w:val="20"/>
          <w:szCs w:val="20"/>
        </w:rPr>
        <w:t>noviembre</w:t>
      </w:r>
      <w:r w:rsidRPr="001F4317">
        <w:rPr>
          <w:rFonts w:asciiTheme="minorHAnsi" w:hAnsiTheme="minorHAnsi" w:cstheme="minorHAnsi"/>
          <w:color w:val="000000"/>
          <w:sz w:val="20"/>
          <w:szCs w:val="20"/>
        </w:rPr>
        <w:t xml:space="preserve"> de 202</w:t>
      </w:r>
      <w:r w:rsidR="00CE44A4" w:rsidRPr="001F4317">
        <w:rPr>
          <w:rFonts w:asciiTheme="minorHAnsi" w:hAnsiTheme="minorHAnsi" w:cstheme="minorHAnsi"/>
          <w:color w:val="000000"/>
          <w:sz w:val="20"/>
          <w:szCs w:val="20"/>
        </w:rPr>
        <w:t>4</w:t>
      </w:r>
      <w:r w:rsidR="006C128A">
        <w:rPr>
          <w:rFonts w:asciiTheme="minorHAnsi" w:hAnsiTheme="minorHAnsi" w:cstheme="minorHAnsi"/>
          <w:color w:val="000000"/>
          <w:sz w:val="20"/>
          <w:szCs w:val="20"/>
        </w:rPr>
        <w:t>]</w:t>
      </w:r>
      <w:r w:rsidRPr="001F4317">
        <w:rPr>
          <w:rFonts w:asciiTheme="minorHAnsi" w:hAnsiTheme="minorHAnsi" w:cstheme="minorHAnsi"/>
          <w:color w:val="000000"/>
          <w:sz w:val="20"/>
          <w:szCs w:val="20"/>
        </w:rPr>
        <w:t>.</w:t>
      </w:r>
    </w:p>
  </w:footnote>
  <w:footnote w:id="5">
    <w:p w14:paraId="57004886" w14:textId="79F0D943"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r w:rsidRPr="001F4317">
        <w:rPr>
          <w:rFonts w:asciiTheme="minorHAnsi" w:hAnsiTheme="minorHAnsi" w:cstheme="minorHAnsi"/>
          <w:color w:val="000000"/>
          <w:szCs w:val="20"/>
        </w:rPr>
        <w:t xml:space="preserve">Sobre la naturaleza, funciones y características de los </w:t>
      </w:r>
      <w:proofErr w:type="spellStart"/>
      <w:r w:rsidRPr="001F4317">
        <w:rPr>
          <w:rFonts w:asciiTheme="minorHAnsi" w:hAnsiTheme="minorHAnsi" w:cstheme="minorHAnsi"/>
          <w:i/>
          <w:color w:val="000000"/>
          <w:szCs w:val="20"/>
        </w:rPr>
        <w:t>smart</w:t>
      </w:r>
      <w:proofErr w:type="spellEnd"/>
      <w:r w:rsidRPr="001F4317">
        <w:rPr>
          <w:rFonts w:asciiTheme="minorHAnsi" w:hAnsiTheme="minorHAnsi" w:cstheme="minorHAnsi"/>
          <w:i/>
          <w:color w:val="000000"/>
          <w:szCs w:val="20"/>
        </w:rPr>
        <w:t xml:space="preserve"> </w:t>
      </w:r>
      <w:proofErr w:type="spellStart"/>
      <w:r w:rsidRPr="001F4317">
        <w:rPr>
          <w:rFonts w:asciiTheme="minorHAnsi" w:hAnsiTheme="minorHAnsi" w:cstheme="minorHAnsi"/>
          <w:i/>
          <w:color w:val="000000"/>
          <w:szCs w:val="20"/>
        </w:rPr>
        <w:t>contracts</w:t>
      </w:r>
      <w:proofErr w:type="spellEnd"/>
      <w:r w:rsidRPr="001F4317">
        <w:rPr>
          <w:rFonts w:asciiTheme="minorHAnsi" w:hAnsiTheme="minorHAnsi" w:cstheme="minorHAnsi"/>
          <w:color w:val="000000"/>
          <w:szCs w:val="20"/>
        </w:rPr>
        <w:t xml:space="preserve">, cfr. </w:t>
      </w:r>
      <w:bookmarkStart w:id="4" w:name="_Hlk172566285"/>
      <w:proofErr w:type="spellStart"/>
      <w:r w:rsidRPr="001F4317">
        <w:rPr>
          <w:rFonts w:asciiTheme="minorHAnsi" w:hAnsiTheme="minorHAnsi" w:cstheme="minorHAnsi"/>
          <w:smallCaps/>
          <w:color w:val="000000"/>
          <w:szCs w:val="20"/>
        </w:rPr>
        <w:t>Legerén</w:t>
      </w:r>
      <w:proofErr w:type="spellEnd"/>
      <w:r w:rsidRPr="001F4317">
        <w:rPr>
          <w:rFonts w:asciiTheme="minorHAnsi" w:hAnsiTheme="minorHAnsi" w:cstheme="minorHAnsi"/>
          <w:smallCaps/>
          <w:color w:val="000000"/>
          <w:szCs w:val="20"/>
        </w:rPr>
        <w:t>-Molina</w:t>
      </w:r>
      <w:r w:rsidRPr="001F4317">
        <w:rPr>
          <w:rFonts w:asciiTheme="minorHAnsi" w:hAnsiTheme="minorHAnsi" w:cstheme="minorHAnsi"/>
          <w:color w:val="000000"/>
          <w:szCs w:val="20"/>
        </w:rPr>
        <w:t xml:space="preserve">, Antonio, “Los contratos inteligentes en España”, </w:t>
      </w:r>
      <w:r w:rsidRPr="001F4317">
        <w:rPr>
          <w:rFonts w:asciiTheme="minorHAnsi" w:hAnsiTheme="minorHAnsi" w:cstheme="minorHAnsi"/>
          <w:i/>
          <w:color w:val="000000"/>
          <w:szCs w:val="20"/>
        </w:rPr>
        <w:t xml:space="preserve">Revista de Derecho </w:t>
      </w:r>
      <w:r w:rsidR="00092E29" w:rsidRPr="001F4317">
        <w:rPr>
          <w:rFonts w:asciiTheme="minorHAnsi" w:hAnsiTheme="minorHAnsi" w:cstheme="minorHAnsi"/>
          <w:i/>
          <w:color w:val="000000"/>
          <w:szCs w:val="20"/>
        </w:rPr>
        <w:t>C</w:t>
      </w:r>
      <w:r w:rsidRPr="001F4317">
        <w:rPr>
          <w:rFonts w:asciiTheme="minorHAnsi" w:hAnsiTheme="minorHAnsi" w:cstheme="minorHAnsi"/>
          <w:i/>
          <w:color w:val="000000"/>
          <w:szCs w:val="20"/>
        </w:rPr>
        <w:t>ivil</w:t>
      </w:r>
      <w:r w:rsidRPr="001F4317">
        <w:rPr>
          <w:rFonts w:asciiTheme="minorHAnsi" w:hAnsiTheme="minorHAnsi" w:cstheme="minorHAnsi"/>
          <w:color w:val="000000"/>
          <w:szCs w:val="20"/>
        </w:rPr>
        <w:t xml:space="preserve">, vol. </w:t>
      </w:r>
      <w:r w:rsidR="00210EDF" w:rsidRPr="001F4317">
        <w:rPr>
          <w:rFonts w:asciiTheme="minorHAnsi" w:hAnsiTheme="minorHAnsi" w:cstheme="minorHAnsi"/>
          <w:color w:val="000000"/>
          <w:szCs w:val="20"/>
        </w:rPr>
        <w:t>V</w:t>
      </w:r>
      <w:r w:rsidRPr="001F4317">
        <w:rPr>
          <w:rFonts w:asciiTheme="minorHAnsi" w:hAnsiTheme="minorHAnsi" w:cstheme="minorHAnsi"/>
          <w:color w:val="000000"/>
          <w:szCs w:val="20"/>
        </w:rPr>
        <w:t>, núm. 2, 2018</w:t>
      </w:r>
      <w:bookmarkEnd w:id="4"/>
      <w:r w:rsidRPr="001F4317">
        <w:rPr>
          <w:rFonts w:asciiTheme="minorHAnsi" w:hAnsiTheme="minorHAnsi" w:cstheme="minorHAnsi"/>
          <w:color w:val="000000"/>
          <w:szCs w:val="20"/>
        </w:rPr>
        <w:t>, pgs. 193-241.</w:t>
      </w:r>
    </w:p>
  </w:footnote>
  <w:footnote w:id="6">
    <w:p w14:paraId="6CC2E206" w14:textId="3AA39222" w:rsidR="000F4D2A" w:rsidRPr="001F4317" w:rsidRDefault="000F4D2A" w:rsidP="001F4317">
      <w:pPr>
        <w:spacing w:after="0" w:line="240" w:lineRule="auto"/>
        <w:ind w:firstLine="0"/>
        <w:rPr>
          <w:rFonts w:asciiTheme="minorHAnsi" w:hAnsiTheme="minorHAnsi" w:cstheme="minorHAnsi"/>
          <w:sz w:val="20"/>
          <w:szCs w:val="20"/>
        </w:rPr>
      </w:pPr>
      <w:r w:rsidRPr="001F4317">
        <w:rPr>
          <w:rFonts w:asciiTheme="minorHAnsi" w:hAnsiTheme="minorHAnsi" w:cstheme="minorHAnsi"/>
          <w:sz w:val="20"/>
          <w:szCs w:val="20"/>
          <w:vertAlign w:val="superscript"/>
        </w:rPr>
        <w:footnoteRef/>
      </w:r>
      <w:r w:rsidRPr="001F4317">
        <w:rPr>
          <w:rFonts w:asciiTheme="minorHAnsi" w:hAnsiTheme="minorHAnsi" w:cstheme="minorHAnsi"/>
          <w:sz w:val="20"/>
          <w:szCs w:val="20"/>
        </w:rPr>
        <w:t xml:space="preserve"> Cfr. </w:t>
      </w:r>
      <w:bookmarkStart w:id="5" w:name="_Hlk172566314"/>
      <w:proofErr w:type="spellStart"/>
      <w:r w:rsidRPr="001F4317">
        <w:rPr>
          <w:rFonts w:asciiTheme="minorHAnsi" w:hAnsiTheme="minorHAnsi" w:cstheme="minorHAnsi"/>
          <w:smallCaps/>
          <w:color w:val="000000"/>
          <w:sz w:val="20"/>
          <w:szCs w:val="20"/>
        </w:rPr>
        <w:t>Argelich</w:t>
      </w:r>
      <w:proofErr w:type="spellEnd"/>
      <w:r w:rsidRPr="001F4317">
        <w:rPr>
          <w:rFonts w:asciiTheme="minorHAnsi" w:hAnsiTheme="minorHAnsi" w:cstheme="minorHAnsi"/>
          <w:smallCaps/>
          <w:color w:val="000000"/>
          <w:sz w:val="20"/>
          <w:szCs w:val="20"/>
        </w:rPr>
        <w:t xml:space="preserve"> </w:t>
      </w:r>
      <w:proofErr w:type="spellStart"/>
      <w:r w:rsidRPr="001F4317">
        <w:rPr>
          <w:rFonts w:asciiTheme="minorHAnsi" w:hAnsiTheme="minorHAnsi" w:cstheme="minorHAnsi"/>
          <w:smallCaps/>
          <w:color w:val="000000"/>
          <w:sz w:val="20"/>
          <w:szCs w:val="20"/>
        </w:rPr>
        <w:t>Comelles</w:t>
      </w:r>
      <w:proofErr w:type="spellEnd"/>
      <w:r w:rsidRPr="001F4317">
        <w:rPr>
          <w:rFonts w:asciiTheme="minorHAnsi" w:hAnsiTheme="minorHAnsi" w:cstheme="minorHAnsi"/>
          <w:smallCaps/>
          <w:color w:val="000000"/>
          <w:sz w:val="20"/>
          <w:szCs w:val="20"/>
        </w:rPr>
        <w:t xml:space="preserve">, </w:t>
      </w:r>
      <w:r w:rsidRPr="001F4317">
        <w:rPr>
          <w:rFonts w:asciiTheme="minorHAnsi" w:hAnsiTheme="minorHAnsi" w:cstheme="minorHAnsi"/>
          <w:color w:val="000000"/>
          <w:sz w:val="20"/>
          <w:szCs w:val="20"/>
        </w:rPr>
        <w:t xml:space="preserve">Cristina, </w:t>
      </w:r>
      <w:r w:rsidRPr="001F4317">
        <w:rPr>
          <w:rFonts w:asciiTheme="minorHAnsi" w:hAnsiTheme="minorHAnsi" w:cstheme="minorHAnsi"/>
          <w:smallCaps/>
          <w:color w:val="000000"/>
          <w:sz w:val="20"/>
          <w:szCs w:val="20"/>
        </w:rPr>
        <w:t>“</w:t>
      </w:r>
      <w:r w:rsidRPr="001F4317">
        <w:rPr>
          <w:rFonts w:asciiTheme="minorHAnsi" w:hAnsiTheme="minorHAnsi" w:cstheme="minorHAnsi"/>
          <w:color w:val="000000"/>
          <w:sz w:val="20"/>
          <w:szCs w:val="20"/>
        </w:rPr>
        <w:t xml:space="preserve">La transmisión digital de la propiedad mediante su adquisición derivativa en las plataformas blockchain”, en </w:t>
      </w:r>
      <w:r w:rsidRPr="001F4317">
        <w:rPr>
          <w:rFonts w:asciiTheme="minorHAnsi" w:hAnsiTheme="minorHAnsi" w:cstheme="minorHAnsi"/>
          <w:smallCaps/>
          <w:color w:val="000000"/>
          <w:sz w:val="20"/>
          <w:szCs w:val="20"/>
        </w:rPr>
        <w:t xml:space="preserve">García </w:t>
      </w:r>
      <w:proofErr w:type="spellStart"/>
      <w:r w:rsidRPr="001F4317">
        <w:rPr>
          <w:rFonts w:asciiTheme="minorHAnsi" w:hAnsiTheme="minorHAnsi" w:cstheme="minorHAnsi"/>
          <w:smallCaps/>
          <w:color w:val="000000"/>
          <w:sz w:val="20"/>
          <w:szCs w:val="20"/>
        </w:rPr>
        <w:t>Goldar</w:t>
      </w:r>
      <w:proofErr w:type="spellEnd"/>
      <w:r w:rsidRPr="001F4317">
        <w:rPr>
          <w:rFonts w:asciiTheme="minorHAnsi" w:hAnsiTheme="minorHAnsi" w:cstheme="minorHAnsi"/>
          <w:smallCaps/>
          <w:color w:val="000000"/>
          <w:sz w:val="20"/>
          <w:szCs w:val="20"/>
        </w:rPr>
        <w:t>,</w:t>
      </w:r>
      <w:r w:rsidRPr="001F4317">
        <w:rPr>
          <w:rFonts w:asciiTheme="minorHAnsi" w:hAnsiTheme="minorHAnsi" w:cstheme="minorHAnsi"/>
          <w:color w:val="000000"/>
          <w:sz w:val="20"/>
          <w:szCs w:val="20"/>
        </w:rPr>
        <w:t xml:space="preserve"> Mónica/</w:t>
      </w:r>
      <w:r w:rsidRPr="001F4317">
        <w:rPr>
          <w:rFonts w:asciiTheme="minorHAnsi" w:hAnsiTheme="minorHAnsi" w:cstheme="minorHAnsi"/>
          <w:smallCaps/>
          <w:color w:val="000000"/>
          <w:sz w:val="20"/>
          <w:szCs w:val="20"/>
        </w:rPr>
        <w:t>Núñez Cerviño,</w:t>
      </w:r>
      <w:r w:rsidRPr="001F4317">
        <w:rPr>
          <w:rFonts w:asciiTheme="minorHAnsi" w:hAnsiTheme="minorHAnsi" w:cstheme="minorHAnsi"/>
          <w:color w:val="000000"/>
          <w:sz w:val="20"/>
          <w:szCs w:val="20"/>
        </w:rPr>
        <w:t xml:space="preserve"> José (dirs.),</w:t>
      </w:r>
      <w:r w:rsidRPr="001F4317">
        <w:rPr>
          <w:rFonts w:asciiTheme="minorHAnsi" w:hAnsiTheme="minorHAnsi" w:cstheme="minorHAnsi"/>
          <w:i/>
          <w:color w:val="000000"/>
          <w:sz w:val="20"/>
          <w:szCs w:val="20"/>
        </w:rPr>
        <w:t xml:space="preserve"> El Derecho ante la tecnología: innovación y adaptación</w:t>
      </w:r>
      <w:r w:rsidRPr="001F4317">
        <w:rPr>
          <w:rFonts w:asciiTheme="minorHAnsi" w:hAnsiTheme="minorHAnsi" w:cstheme="minorHAnsi"/>
          <w:color w:val="000000"/>
          <w:sz w:val="20"/>
          <w:szCs w:val="20"/>
        </w:rPr>
        <w:t>, Colex, Madrid, 2022</w:t>
      </w:r>
      <w:bookmarkEnd w:id="5"/>
      <w:r w:rsidRPr="001F4317">
        <w:rPr>
          <w:rFonts w:asciiTheme="minorHAnsi" w:hAnsiTheme="minorHAnsi" w:cstheme="minorHAnsi"/>
          <w:color w:val="000000"/>
          <w:sz w:val="20"/>
          <w:szCs w:val="20"/>
        </w:rPr>
        <w:t>, pg. 213</w:t>
      </w:r>
      <w:r w:rsidRPr="001F4317">
        <w:rPr>
          <w:rFonts w:asciiTheme="minorHAnsi" w:hAnsiTheme="minorHAnsi" w:cstheme="minorHAnsi"/>
          <w:sz w:val="20"/>
          <w:szCs w:val="20"/>
        </w:rPr>
        <w:t xml:space="preserve"> y </w:t>
      </w:r>
      <w:bookmarkStart w:id="6" w:name="_Hlk172566319"/>
      <w:r w:rsidRPr="001F4317">
        <w:rPr>
          <w:rFonts w:asciiTheme="minorHAnsi" w:hAnsiTheme="minorHAnsi" w:cstheme="minorHAnsi"/>
          <w:smallCaps/>
          <w:color w:val="000000"/>
          <w:sz w:val="20"/>
          <w:szCs w:val="20"/>
        </w:rPr>
        <w:t xml:space="preserve">Arrieta Sevilla, </w:t>
      </w:r>
      <w:r w:rsidRPr="001F4317">
        <w:rPr>
          <w:rFonts w:asciiTheme="minorHAnsi" w:hAnsiTheme="minorHAnsi" w:cstheme="minorHAnsi"/>
          <w:color w:val="000000"/>
          <w:sz w:val="20"/>
          <w:szCs w:val="20"/>
        </w:rPr>
        <w:t xml:space="preserve">Luis Javier, “El uso de tokens en transmisiones inmobiliarias”, </w:t>
      </w:r>
      <w:r w:rsidRPr="001F4317">
        <w:rPr>
          <w:rFonts w:asciiTheme="minorHAnsi" w:hAnsiTheme="minorHAnsi" w:cstheme="minorHAnsi"/>
          <w:i/>
          <w:iCs/>
          <w:color w:val="000000"/>
          <w:sz w:val="20"/>
          <w:szCs w:val="20"/>
        </w:rPr>
        <w:t xml:space="preserve">Revista de Derecho </w:t>
      </w:r>
      <w:r w:rsidR="00092E29" w:rsidRPr="001F4317">
        <w:rPr>
          <w:rFonts w:asciiTheme="minorHAnsi" w:hAnsiTheme="minorHAnsi" w:cstheme="minorHAnsi"/>
          <w:i/>
          <w:iCs/>
          <w:color w:val="000000"/>
          <w:sz w:val="20"/>
          <w:szCs w:val="20"/>
        </w:rPr>
        <w:t>C</w:t>
      </w:r>
      <w:r w:rsidRPr="001F4317">
        <w:rPr>
          <w:rFonts w:asciiTheme="minorHAnsi" w:hAnsiTheme="minorHAnsi" w:cstheme="minorHAnsi"/>
          <w:i/>
          <w:iCs/>
          <w:color w:val="000000"/>
          <w:sz w:val="20"/>
          <w:szCs w:val="20"/>
        </w:rPr>
        <w:t>ivil</w:t>
      </w:r>
      <w:r w:rsidRPr="001F4317">
        <w:rPr>
          <w:rFonts w:asciiTheme="minorHAnsi" w:hAnsiTheme="minorHAnsi" w:cstheme="minorHAnsi"/>
          <w:color w:val="000000"/>
          <w:sz w:val="20"/>
          <w:szCs w:val="20"/>
        </w:rPr>
        <w:t>, vol. X, núm. 2, 2023</w:t>
      </w:r>
      <w:bookmarkEnd w:id="6"/>
      <w:r w:rsidR="00542D01" w:rsidRPr="001F4317">
        <w:rPr>
          <w:rFonts w:asciiTheme="minorHAnsi" w:hAnsiTheme="minorHAnsi" w:cstheme="minorHAnsi"/>
          <w:color w:val="000000"/>
          <w:sz w:val="20"/>
          <w:szCs w:val="20"/>
        </w:rPr>
        <w:t>, pgs. 74-78</w:t>
      </w:r>
      <w:r w:rsidRPr="001F4317">
        <w:rPr>
          <w:rFonts w:asciiTheme="minorHAnsi" w:hAnsiTheme="minorHAnsi" w:cstheme="minorHAnsi"/>
          <w:sz w:val="20"/>
          <w:szCs w:val="20"/>
        </w:rPr>
        <w:t>.</w:t>
      </w:r>
    </w:p>
  </w:footnote>
  <w:footnote w:id="7">
    <w:p w14:paraId="50F83EC9" w14:textId="1418B23D"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bookmarkStart w:id="7" w:name="_Hlk172566326"/>
      <w:r w:rsidRPr="001F4317">
        <w:rPr>
          <w:rFonts w:asciiTheme="minorHAnsi" w:hAnsiTheme="minorHAnsi" w:cstheme="minorHAnsi"/>
          <w:smallCaps/>
          <w:szCs w:val="20"/>
        </w:rPr>
        <w:t>Luquin</w:t>
      </w:r>
      <w:r w:rsidRPr="001F4317">
        <w:rPr>
          <w:rFonts w:asciiTheme="minorHAnsi" w:hAnsiTheme="minorHAnsi" w:cstheme="minorHAnsi"/>
          <w:szCs w:val="20"/>
        </w:rPr>
        <w:t xml:space="preserve"> </w:t>
      </w:r>
      <w:r w:rsidRPr="001F4317">
        <w:rPr>
          <w:rFonts w:asciiTheme="minorHAnsi" w:hAnsiTheme="minorHAnsi" w:cstheme="minorHAnsi"/>
          <w:smallCaps/>
          <w:szCs w:val="20"/>
        </w:rPr>
        <w:t xml:space="preserve">Bergareche, </w:t>
      </w:r>
      <w:r w:rsidR="009E5AA2" w:rsidRPr="001F4317">
        <w:rPr>
          <w:rFonts w:asciiTheme="minorHAnsi" w:hAnsiTheme="minorHAnsi" w:cstheme="minorHAnsi"/>
          <w:szCs w:val="20"/>
        </w:rPr>
        <w:t xml:space="preserve">Raquel, </w:t>
      </w:r>
      <w:r w:rsidRPr="001F4317">
        <w:rPr>
          <w:rFonts w:asciiTheme="minorHAnsi" w:hAnsiTheme="minorHAnsi" w:cstheme="minorHAnsi"/>
          <w:i/>
          <w:szCs w:val="20"/>
        </w:rPr>
        <w:t xml:space="preserve">Smart </w:t>
      </w:r>
      <w:proofErr w:type="spellStart"/>
      <w:r w:rsidRPr="001F4317">
        <w:rPr>
          <w:rFonts w:asciiTheme="minorHAnsi" w:hAnsiTheme="minorHAnsi" w:cstheme="minorHAnsi"/>
          <w:i/>
          <w:szCs w:val="20"/>
        </w:rPr>
        <w:t>contracts</w:t>
      </w:r>
      <w:proofErr w:type="spellEnd"/>
      <w:r w:rsidRPr="001F4317">
        <w:rPr>
          <w:rFonts w:asciiTheme="minorHAnsi" w:hAnsiTheme="minorHAnsi" w:cstheme="minorHAnsi"/>
          <w:i/>
          <w:szCs w:val="20"/>
        </w:rPr>
        <w:t>: aplicaciones jurídicas y de salud digital</w:t>
      </w:r>
      <w:r w:rsidRPr="001F4317">
        <w:rPr>
          <w:rFonts w:asciiTheme="minorHAnsi" w:hAnsiTheme="minorHAnsi" w:cstheme="minorHAnsi"/>
          <w:szCs w:val="20"/>
        </w:rPr>
        <w:t>, Tirant lo Blanch, Valencia, 2024</w:t>
      </w:r>
      <w:bookmarkEnd w:id="7"/>
      <w:r w:rsidRPr="001F4317">
        <w:rPr>
          <w:rFonts w:asciiTheme="minorHAnsi" w:hAnsiTheme="minorHAnsi" w:cstheme="minorHAnsi"/>
          <w:szCs w:val="20"/>
        </w:rPr>
        <w:t>, pg. 60, nota 63.</w:t>
      </w:r>
    </w:p>
  </w:footnote>
  <w:footnote w:id="8">
    <w:p w14:paraId="54ABE12E" w14:textId="127A9BF0" w:rsidR="000F4D2A" w:rsidRPr="001F4317" w:rsidRDefault="000F4D2A" w:rsidP="001F4317">
      <w:pPr>
        <w:pBdr>
          <w:top w:val="nil"/>
          <w:left w:val="nil"/>
          <w:bottom w:val="nil"/>
          <w:right w:val="nil"/>
          <w:between w:val="nil"/>
        </w:pBdr>
        <w:spacing w:after="0" w:line="240" w:lineRule="auto"/>
        <w:ind w:firstLine="0"/>
        <w:rPr>
          <w:rFonts w:asciiTheme="minorHAnsi" w:hAnsiTheme="minorHAnsi" w:cstheme="minorHAnsi"/>
          <w:color w:val="000000"/>
          <w:sz w:val="20"/>
          <w:szCs w:val="20"/>
        </w:rPr>
      </w:pPr>
      <w:r w:rsidRPr="001F4317">
        <w:rPr>
          <w:rFonts w:asciiTheme="minorHAnsi" w:hAnsiTheme="minorHAnsi" w:cstheme="minorHAnsi"/>
          <w:sz w:val="20"/>
          <w:szCs w:val="20"/>
          <w:vertAlign w:val="superscript"/>
        </w:rPr>
        <w:footnoteRef/>
      </w:r>
      <w:r w:rsidRPr="001F4317">
        <w:rPr>
          <w:rFonts w:asciiTheme="minorHAnsi" w:hAnsiTheme="minorHAnsi" w:cstheme="minorHAnsi"/>
          <w:color w:val="000000"/>
          <w:sz w:val="20"/>
          <w:szCs w:val="20"/>
        </w:rPr>
        <w:t xml:space="preserve"> Para un mayor análisis de los </w:t>
      </w:r>
      <w:proofErr w:type="spellStart"/>
      <w:r w:rsidRPr="001F4317">
        <w:rPr>
          <w:rFonts w:asciiTheme="minorHAnsi" w:hAnsiTheme="minorHAnsi" w:cstheme="minorHAnsi"/>
          <w:i/>
          <w:color w:val="000000"/>
          <w:sz w:val="20"/>
          <w:szCs w:val="20"/>
        </w:rPr>
        <w:t>security</w:t>
      </w:r>
      <w:proofErr w:type="spellEnd"/>
      <w:r w:rsidRPr="001F4317">
        <w:rPr>
          <w:rFonts w:asciiTheme="minorHAnsi" w:hAnsiTheme="minorHAnsi" w:cstheme="minorHAnsi"/>
          <w:color w:val="000000"/>
          <w:sz w:val="20"/>
          <w:szCs w:val="20"/>
        </w:rPr>
        <w:t xml:space="preserve"> </w:t>
      </w:r>
      <w:r w:rsidRPr="001F4317">
        <w:rPr>
          <w:rFonts w:asciiTheme="minorHAnsi" w:hAnsiTheme="minorHAnsi" w:cstheme="minorHAnsi"/>
          <w:i/>
          <w:color w:val="000000"/>
          <w:sz w:val="20"/>
          <w:szCs w:val="20"/>
        </w:rPr>
        <w:t>tokens</w:t>
      </w:r>
      <w:r w:rsidRPr="001F4317">
        <w:rPr>
          <w:rFonts w:asciiTheme="minorHAnsi" w:hAnsiTheme="minorHAnsi" w:cstheme="minorHAnsi"/>
          <w:color w:val="000000"/>
          <w:sz w:val="20"/>
          <w:szCs w:val="20"/>
        </w:rPr>
        <w:t xml:space="preserve">, cfr. </w:t>
      </w:r>
      <w:bookmarkStart w:id="8" w:name="_Hlk172566346"/>
      <w:r w:rsidRPr="001F4317">
        <w:rPr>
          <w:rFonts w:asciiTheme="minorHAnsi" w:hAnsiTheme="minorHAnsi" w:cstheme="minorHAnsi"/>
          <w:smallCaps/>
          <w:color w:val="000000"/>
          <w:sz w:val="20"/>
          <w:szCs w:val="20"/>
        </w:rPr>
        <w:t>Valpuesta Gastaminza</w:t>
      </w:r>
      <w:r w:rsidRPr="001F4317">
        <w:rPr>
          <w:rFonts w:asciiTheme="minorHAnsi" w:hAnsiTheme="minorHAnsi" w:cstheme="minorHAnsi"/>
          <w:color w:val="000000"/>
          <w:sz w:val="20"/>
          <w:szCs w:val="20"/>
        </w:rPr>
        <w:t xml:space="preserve">, Eduardo, “Los «criptoactivos» o «tokens»”, en </w:t>
      </w:r>
      <w:r w:rsidRPr="001F4317">
        <w:rPr>
          <w:rFonts w:asciiTheme="minorHAnsi" w:hAnsiTheme="minorHAnsi" w:cstheme="minorHAnsi"/>
          <w:smallCaps/>
          <w:color w:val="000000"/>
          <w:sz w:val="20"/>
          <w:szCs w:val="20"/>
        </w:rPr>
        <w:t>Valpuesta Gastaminza,</w:t>
      </w:r>
      <w:r w:rsidRPr="001F4317">
        <w:rPr>
          <w:rFonts w:asciiTheme="minorHAnsi" w:hAnsiTheme="minorHAnsi" w:cstheme="minorHAnsi"/>
          <w:color w:val="000000"/>
          <w:sz w:val="20"/>
          <w:szCs w:val="20"/>
        </w:rPr>
        <w:t xml:space="preserve"> Eduardo</w:t>
      </w:r>
      <w:r w:rsidRPr="001F4317">
        <w:rPr>
          <w:rFonts w:asciiTheme="minorHAnsi" w:hAnsiTheme="minorHAnsi" w:cstheme="minorHAnsi"/>
          <w:smallCaps/>
          <w:color w:val="000000"/>
          <w:sz w:val="20"/>
          <w:szCs w:val="20"/>
        </w:rPr>
        <w:t>/Hernández Peña,</w:t>
      </w:r>
      <w:r w:rsidRPr="001F4317">
        <w:rPr>
          <w:rFonts w:asciiTheme="minorHAnsi" w:hAnsiTheme="minorHAnsi" w:cstheme="minorHAnsi"/>
          <w:color w:val="000000"/>
          <w:sz w:val="20"/>
          <w:szCs w:val="20"/>
        </w:rPr>
        <w:t xml:space="preserve"> Juan Carlos</w:t>
      </w:r>
      <w:r w:rsidRPr="001F4317">
        <w:rPr>
          <w:rFonts w:asciiTheme="minorHAnsi" w:hAnsiTheme="minorHAnsi" w:cstheme="minorHAnsi"/>
          <w:smallCaps/>
          <w:color w:val="000000"/>
          <w:sz w:val="20"/>
          <w:szCs w:val="20"/>
        </w:rPr>
        <w:t xml:space="preserve"> (</w:t>
      </w:r>
      <w:r w:rsidRPr="001F4317">
        <w:rPr>
          <w:rFonts w:asciiTheme="minorHAnsi" w:hAnsiTheme="minorHAnsi" w:cstheme="minorHAnsi"/>
          <w:color w:val="000000"/>
          <w:sz w:val="20"/>
          <w:szCs w:val="20"/>
        </w:rPr>
        <w:t>coords.</w:t>
      </w:r>
      <w:r w:rsidRPr="001F4317">
        <w:rPr>
          <w:rFonts w:asciiTheme="minorHAnsi" w:hAnsiTheme="minorHAnsi" w:cstheme="minorHAnsi"/>
          <w:smallCaps/>
          <w:color w:val="000000"/>
          <w:sz w:val="20"/>
          <w:szCs w:val="20"/>
        </w:rPr>
        <w:t>)</w:t>
      </w:r>
      <w:r w:rsidRPr="001F4317">
        <w:rPr>
          <w:rFonts w:asciiTheme="minorHAnsi" w:hAnsiTheme="minorHAnsi" w:cstheme="minorHAnsi"/>
          <w:color w:val="000000"/>
          <w:sz w:val="20"/>
          <w:szCs w:val="20"/>
        </w:rPr>
        <w:t xml:space="preserve">, </w:t>
      </w:r>
      <w:r w:rsidRPr="001F4317">
        <w:rPr>
          <w:rFonts w:asciiTheme="minorHAnsi" w:hAnsiTheme="minorHAnsi" w:cstheme="minorHAnsi"/>
          <w:i/>
          <w:color w:val="000000"/>
          <w:sz w:val="20"/>
          <w:szCs w:val="20"/>
        </w:rPr>
        <w:t>Tratado de Derecho digital</w:t>
      </w:r>
      <w:r w:rsidRPr="001F4317">
        <w:rPr>
          <w:rFonts w:asciiTheme="minorHAnsi" w:hAnsiTheme="minorHAnsi" w:cstheme="minorHAnsi"/>
          <w:color w:val="000000"/>
          <w:sz w:val="20"/>
          <w:szCs w:val="20"/>
        </w:rPr>
        <w:t xml:space="preserve">, Wolters </w:t>
      </w:r>
      <w:proofErr w:type="spellStart"/>
      <w:r w:rsidRPr="001F4317">
        <w:rPr>
          <w:rFonts w:asciiTheme="minorHAnsi" w:hAnsiTheme="minorHAnsi" w:cstheme="minorHAnsi"/>
          <w:color w:val="000000"/>
          <w:sz w:val="20"/>
          <w:szCs w:val="20"/>
        </w:rPr>
        <w:t>Kluwer</w:t>
      </w:r>
      <w:proofErr w:type="spellEnd"/>
      <w:r w:rsidRPr="001F4317">
        <w:rPr>
          <w:rFonts w:asciiTheme="minorHAnsi" w:hAnsiTheme="minorHAnsi" w:cstheme="minorHAnsi"/>
          <w:color w:val="000000"/>
          <w:sz w:val="20"/>
          <w:szCs w:val="20"/>
        </w:rPr>
        <w:t>, Madrid, 2021</w:t>
      </w:r>
      <w:bookmarkEnd w:id="8"/>
      <w:r w:rsidRPr="001F4317">
        <w:rPr>
          <w:rFonts w:asciiTheme="minorHAnsi" w:hAnsiTheme="minorHAnsi" w:cstheme="minorHAnsi"/>
          <w:color w:val="000000"/>
          <w:sz w:val="20"/>
          <w:szCs w:val="20"/>
        </w:rPr>
        <w:t>, pgs. 586 y 601-602.</w:t>
      </w:r>
    </w:p>
  </w:footnote>
  <w:footnote w:id="9">
    <w:p w14:paraId="45690B17" w14:textId="04BD0E7F" w:rsidR="000F4D2A" w:rsidRPr="001F4317" w:rsidRDefault="000F4D2A" w:rsidP="001F4317">
      <w:pPr>
        <w:pBdr>
          <w:top w:val="nil"/>
          <w:left w:val="nil"/>
          <w:bottom w:val="nil"/>
          <w:right w:val="nil"/>
          <w:between w:val="nil"/>
        </w:pBdr>
        <w:spacing w:after="0" w:line="240" w:lineRule="auto"/>
        <w:ind w:firstLine="0"/>
        <w:rPr>
          <w:rFonts w:asciiTheme="minorHAnsi" w:hAnsiTheme="minorHAnsi" w:cstheme="minorHAnsi"/>
          <w:color w:val="000000"/>
          <w:sz w:val="20"/>
          <w:szCs w:val="20"/>
        </w:rPr>
      </w:pPr>
      <w:r w:rsidRPr="001F4317">
        <w:rPr>
          <w:rFonts w:asciiTheme="minorHAnsi" w:hAnsiTheme="minorHAnsi" w:cstheme="minorHAnsi"/>
          <w:sz w:val="20"/>
          <w:szCs w:val="20"/>
          <w:vertAlign w:val="superscript"/>
        </w:rPr>
        <w:footnoteRef/>
      </w:r>
      <w:r w:rsidRPr="001F4317">
        <w:rPr>
          <w:rFonts w:asciiTheme="minorHAnsi" w:hAnsiTheme="minorHAnsi" w:cstheme="minorHAnsi"/>
          <w:color w:val="000000"/>
          <w:sz w:val="20"/>
          <w:szCs w:val="20"/>
        </w:rPr>
        <w:t xml:space="preserve"> Cfr. </w:t>
      </w:r>
      <w:bookmarkStart w:id="9" w:name="_Hlk172566360"/>
      <w:r w:rsidR="00E60AA0" w:rsidRPr="001F4317">
        <w:rPr>
          <w:rFonts w:asciiTheme="minorHAnsi" w:hAnsiTheme="minorHAnsi" w:cstheme="minorHAnsi"/>
          <w:smallCaps/>
          <w:color w:val="000000"/>
          <w:sz w:val="20"/>
          <w:szCs w:val="20"/>
        </w:rPr>
        <w:t>Pacheco Jiménez</w:t>
      </w:r>
      <w:r w:rsidR="00E60AA0" w:rsidRPr="001F4317">
        <w:rPr>
          <w:rFonts w:asciiTheme="minorHAnsi" w:hAnsiTheme="minorHAnsi" w:cstheme="minorHAnsi"/>
          <w:color w:val="000000"/>
          <w:sz w:val="20"/>
          <w:szCs w:val="20"/>
        </w:rPr>
        <w:t xml:space="preserve">, María Nieves, “De la tecnología blockchain a la economía del token”, </w:t>
      </w:r>
      <w:r w:rsidR="00E60AA0" w:rsidRPr="001F4317">
        <w:rPr>
          <w:rFonts w:asciiTheme="minorHAnsi" w:hAnsiTheme="minorHAnsi" w:cstheme="minorHAnsi"/>
          <w:i/>
          <w:iCs/>
          <w:color w:val="000000"/>
          <w:sz w:val="20"/>
          <w:szCs w:val="20"/>
        </w:rPr>
        <w:t>Derecho PUCP: Revista de la Facultad de Derecho</w:t>
      </w:r>
      <w:r w:rsidR="00E60AA0" w:rsidRPr="001F4317">
        <w:rPr>
          <w:rFonts w:asciiTheme="minorHAnsi" w:hAnsiTheme="minorHAnsi" w:cstheme="minorHAnsi"/>
          <w:color w:val="000000"/>
          <w:sz w:val="20"/>
          <w:szCs w:val="20"/>
        </w:rPr>
        <w:t>, núm. 83, 2019</w:t>
      </w:r>
      <w:bookmarkEnd w:id="9"/>
      <w:r w:rsidR="00E60AA0" w:rsidRPr="001F4317">
        <w:rPr>
          <w:rFonts w:asciiTheme="minorHAnsi" w:hAnsiTheme="minorHAnsi" w:cstheme="minorHAnsi"/>
          <w:color w:val="000000"/>
          <w:sz w:val="20"/>
          <w:szCs w:val="20"/>
        </w:rPr>
        <w:t xml:space="preserve">, pg. </w:t>
      </w:r>
      <w:r w:rsidRPr="001F4317">
        <w:rPr>
          <w:rFonts w:asciiTheme="minorHAnsi" w:hAnsiTheme="minorHAnsi" w:cstheme="minorHAnsi"/>
          <w:color w:val="000000"/>
          <w:sz w:val="20"/>
          <w:szCs w:val="20"/>
        </w:rPr>
        <w:t>69</w:t>
      </w:r>
      <w:r w:rsidR="00C7443E" w:rsidRPr="001F4317">
        <w:rPr>
          <w:rFonts w:asciiTheme="minorHAnsi" w:hAnsiTheme="minorHAnsi" w:cstheme="minorHAnsi"/>
          <w:color w:val="000000"/>
          <w:sz w:val="20"/>
          <w:szCs w:val="20"/>
        </w:rPr>
        <w:t xml:space="preserve"> y</w:t>
      </w:r>
      <w:r w:rsidRPr="001F4317">
        <w:rPr>
          <w:rFonts w:asciiTheme="minorHAnsi" w:hAnsiTheme="minorHAnsi" w:cstheme="minorHAnsi"/>
          <w:color w:val="000000"/>
          <w:sz w:val="20"/>
          <w:szCs w:val="20"/>
        </w:rPr>
        <w:t xml:space="preserve"> </w:t>
      </w:r>
      <w:bookmarkStart w:id="10" w:name="_Hlk172566367"/>
      <w:r w:rsidRPr="001F4317">
        <w:rPr>
          <w:rFonts w:asciiTheme="minorHAnsi" w:hAnsiTheme="minorHAnsi" w:cstheme="minorHAnsi"/>
          <w:smallCaps/>
          <w:color w:val="000000"/>
          <w:sz w:val="20"/>
          <w:szCs w:val="20"/>
        </w:rPr>
        <w:t>García Teruel,</w:t>
      </w:r>
      <w:r w:rsidRPr="001F4317">
        <w:rPr>
          <w:rFonts w:asciiTheme="minorHAnsi" w:hAnsiTheme="minorHAnsi" w:cstheme="minorHAnsi"/>
          <w:color w:val="000000"/>
          <w:sz w:val="20"/>
          <w:szCs w:val="20"/>
        </w:rPr>
        <w:t xml:space="preserve"> Rosa M./</w:t>
      </w:r>
      <w:r w:rsidRPr="001F4317">
        <w:rPr>
          <w:rFonts w:asciiTheme="minorHAnsi" w:hAnsiTheme="minorHAnsi" w:cstheme="minorHAnsi"/>
          <w:smallCaps/>
          <w:color w:val="000000"/>
          <w:sz w:val="20"/>
          <w:szCs w:val="20"/>
        </w:rPr>
        <w:t>Simón Moreno</w:t>
      </w:r>
      <w:r w:rsidRPr="001F4317">
        <w:rPr>
          <w:rFonts w:asciiTheme="minorHAnsi" w:hAnsiTheme="minorHAnsi" w:cstheme="minorHAnsi"/>
          <w:color w:val="000000"/>
          <w:sz w:val="20"/>
          <w:szCs w:val="20"/>
        </w:rPr>
        <w:t xml:space="preserve">, Héctor, “The digital </w:t>
      </w:r>
      <w:proofErr w:type="spellStart"/>
      <w:r w:rsidRPr="001F4317">
        <w:rPr>
          <w:rFonts w:asciiTheme="minorHAnsi" w:hAnsiTheme="minorHAnsi" w:cstheme="minorHAnsi"/>
          <w:color w:val="000000"/>
          <w:sz w:val="20"/>
          <w:szCs w:val="20"/>
        </w:rPr>
        <w:t>tokenization</w:t>
      </w:r>
      <w:proofErr w:type="spellEnd"/>
      <w:r w:rsidRPr="001F4317">
        <w:rPr>
          <w:rFonts w:asciiTheme="minorHAnsi" w:hAnsiTheme="minorHAnsi" w:cstheme="minorHAnsi"/>
          <w:color w:val="000000"/>
          <w:sz w:val="20"/>
          <w:szCs w:val="20"/>
        </w:rPr>
        <w:t xml:space="preserve"> </w:t>
      </w:r>
      <w:proofErr w:type="spellStart"/>
      <w:r w:rsidRPr="001F4317">
        <w:rPr>
          <w:rFonts w:asciiTheme="minorHAnsi" w:hAnsiTheme="minorHAnsi" w:cstheme="minorHAnsi"/>
          <w:color w:val="000000"/>
          <w:sz w:val="20"/>
          <w:szCs w:val="20"/>
        </w:rPr>
        <w:t>of</w:t>
      </w:r>
      <w:proofErr w:type="spellEnd"/>
      <w:r w:rsidRPr="001F4317">
        <w:rPr>
          <w:rFonts w:asciiTheme="minorHAnsi" w:hAnsiTheme="minorHAnsi" w:cstheme="minorHAnsi"/>
          <w:color w:val="000000"/>
          <w:sz w:val="20"/>
          <w:szCs w:val="20"/>
        </w:rPr>
        <w:t xml:space="preserve"> </w:t>
      </w:r>
      <w:proofErr w:type="spellStart"/>
      <w:r w:rsidRPr="001F4317">
        <w:rPr>
          <w:rFonts w:asciiTheme="minorHAnsi" w:hAnsiTheme="minorHAnsi" w:cstheme="minorHAnsi"/>
          <w:color w:val="000000"/>
          <w:sz w:val="20"/>
          <w:szCs w:val="20"/>
        </w:rPr>
        <w:t>property</w:t>
      </w:r>
      <w:proofErr w:type="spellEnd"/>
      <w:r w:rsidRPr="001F4317">
        <w:rPr>
          <w:rFonts w:asciiTheme="minorHAnsi" w:hAnsiTheme="minorHAnsi" w:cstheme="minorHAnsi"/>
          <w:color w:val="000000"/>
          <w:sz w:val="20"/>
          <w:szCs w:val="20"/>
        </w:rPr>
        <w:t xml:space="preserve"> </w:t>
      </w:r>
      <w:proofErr w:type="spellStart"/>
      <w:r w:rsidRPr="001F4317">
        <w:rPr>
          <w:rFonts w:asciiTheme="minorHAnsi" w:hAnsiTheme="minorHAnsi" w:cstheme="minorHAnsi"/>
          <w:color w:val="000000"/>
          <w:sz w:val="20"/>
          <w:szCs w:val="20"/>
        </w:rPr>
        <w:t>rights</w:t>
      </w:r>
      <w:proofErr w:type="spellEnd"/>
      <w:r w:rsidRPr="001F4317">
        <w:rPr>
          <w:rFonts w:asciiTheme="minorHAnsi" w:hAnsiTheme="minorHAnsi" w:cstheme="minorHAnsi"/>
          <w:color w:val="000000"/>
          <w:sz w:val="20"/>
          <w:szCs w:val="20"/>
        </w:rPr>
        <w:t xml:space="preserve">. A comparative </w:t>
      </w:r>
      <w:proofErr w:type="spellStart"/>
      <w:r w:rsidRPr="001F4317">
        <w:rPr>
          <w:rFonts w:asciiTheme="minorHAnsi" w:hAnsiTheme="minorHAnsi" w:cstheme="minorHAnsi"/>
          <w:color w:val="000000"/>
          <w:sz w:val="20"/>
          <w:szCs w:val="20"/>
        </w:rPr>
        <w:t>perspective</w:t>
      </w:r>
      <w:proofErr w:type="spellEnd"/>
      <w:r w:rsidRPr="001F4317">
        <w:rPr>
          <w:rFonts w:asciiTheme="minorHAnsi" w:hAnsiTheme="minorHAnsi" w:cstheme="minorHAnsi"/>
          <w:color w:val="000000"/>
          <w:sz w:val="20"/>
          <w:szCs w:val="20"/>
        </w:rPr>
        <w:t xml:space="preserve">”, </w:t>
      </w:r>
      <w:proofErr w:type="spellStart"/>
      <w:r w:rsidRPr="001F4317">
        <w:rPr>
          <w:rFonts w:asciiTheme="minorHAnsi" w:hAnsiTheme="minorHAnsi" w:cstheme="minorHAnsi"/>
          <w:i/>
          <w:color w:val="000000"/>
          <w:sz w:val="20"/>
          <w:szCs w:val="20"/>
        </w:rPr>
        <w:t>Computer</w:t>
      </w:r>
      <w:proofErr w:type="spellEnd"/>
      <w:r w:rsidRPr="001F4317">
        <w:rPr>
          <w:rFonts w:asciiTheme="minorHAnsi" w:hAnsiTheme="minorHAnsi" w:cstheme="minorHAnsi"/>
          <w:i/>
          <w:color w:val="000000"/>
          <w:sz w:val="20"/>
          <w:szCs w:val="20"/>
        </w:rPr>
        <w:t xml:space="preserve"> </w:t>
      </w:r>
      <w:proofErr w:type="spellStart"/>
      <w:r w:rsidRPr="001F4317">
        <w:rPr>
          <w:rFonts w:asciiTheme="minorHAnsi" w:hAnsiTheme="minorHAnsi" w:cstheme="minorHAnsi"/>
          <w:i/>
          <w:color w:val="000000"/>
          <w:sz w:val="20"/>
          <w:szCs w:val="20"/>
        </w:rPr>
        <w:t>Law</w:t>
      </w:r>
      <w:proofErr w:type="spellEnd"/>
      <w:r w:rsidRPr="001F4317">
        <w:rPr>
          <w:rFonts w:asciiTheme="minorHAnsi" w:hAnsiTheme="minorHAnsi" w:cstheme="minorHAnsi"/>
          <w:i/>
          <w:color w:val="000000"/>
          <w:sz w:val="20"/>
          <w:szCs w:val="20"/>
        </w:rPr>
        <w:t xml:space="preserve"> &amp; Security </w:t>
      </w:r>
      <w:proofErr w:type="spellStart"/>
      <w:r w:rsidRPr="001F4317">
        <w:rPr>
          <w:rFonts w:asciiTheme="minorHAnsi" w:hAnsiTheme="minorHAnsi" w:cstheme="minorHAnsi"/>
          <w:i/>
          <w:color w:val="000000"/>
          <w:sz w:val="20"/>
          <w:szCs w:val="20"/>
        </w:rPr>
        <w:t>Review</w:t>
      </w:r>
      <w:proofErr w:type="spellEnd"/>
      <w:r w:rsidRPr="001F4317">
        <w:rPr>
          <w:rFonts w:asciiTheme="minorHAnsi" w:hAnsiTheme="minorHAnsi" w:cstheme="minorHAnsi"/>
          <w:color w:val="000000"/>
          <w:sz w:val="20"/>
          <w:szCs w:val="20"/>
        </w:rPr>
        <w:t>, núm. 41, 2021</w:t>
      </w:r>
      <w:bookmarkEnd w:id="10"/>
      <w:r w:rsidRPr="001F4317">
        <w:rPr>
          <w:rFonts w:asciiTheme="minorHAnsi" w:hAnsiTheme="minorHAnsi" w:cstheme="minorHAnsi"/>
          <w:color w:val="000000"/>
          <w:sz w:val="20"/>
          <w:szCs w:val="20"/>
        </w:rPr>
        <w:t>, pg. 2</w:t>
      </w:r>
      <w:r w:rsidRPr="001F4317">
        <w:rPr>
          <w:rFonts w:asciiTheme="minorHAnsi" w:hAnsiTheme="minorHAnsi" w:cstheme="minorHAnsi"/>
          <w:sz w:val="20"/>
          <w:szCs w:val="20"/>
        </w:rPr>
        <w:t>.</w:t>
      </w:r>
    </w:p>
  </w:footnote>
  <w:footnote w:id="10">
    <w:p w14:paraId="28971FA9" w14:textId="7510FB84"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bookmarkStart w:id="11" w:name="_Hlk172566374"/>
      <w:r w:rsidR="00C7443E" w:rsidRPr="001F4317">
        <w:rPr>
          <w:rFonts w:asciiTheme="minorHAnsi" w:hAnsiTheme="minorHAnsi" w:cstheme="minorHAnsi"/>
          <w:smallCaps/>
          <w:szCs w:val="20"/>
        </w:rPr>
        <w:t>Sánchez Gil</w:t>
      </w:r>
      <w:r w:rsidR="00C7443E" w:rsidRPr="001F4317">
        <w:rPr>
          <w:rFonts w:asciiTheme="minorHAnsi" w:hAnsiTheme="minorHAnsi" w:cstheme="minorHAnsi"/>
          <w:szCs w:val="20"/>
        </w:rPr>
        <w:t xml:space="preserve">, </w:t>
      </w:r>
      <w:r w:rsidR="009E5AA2" w:rsidRPr="001F4317">
        <w:rPr>
          <w:rFonts w:asciiTheme="minorHAnsi" w:hAnsiTheme="minorHAnsi" w:cstheme="minorHAnsi"/>
          <w:szCs w:val="20"/>
        </w:rPr>
        <w:t xml:space="preserve">Ignacio, </w:t>
      </w:r>
      <w:r w:rsidRPr="001F4317">
        <w:rPr>
          <w:rFonts w:asciiTheme="minorHAnsi" w:hAnsiTheme="minorHAnsi" w:cstheme="minorHAnsi"/>
          <w:szCs w:val="20"/>
        </w:rPr>
        <w:t xml:space="preserve">“¿Tokens como valores negociables? La aplicabilidad del marco europeo del sector financiero a los criptoactivos”, </w:t>
      </w:r>
      <w:r w:rsidRPr="001F4317">
        <w:rPr>
          <w:rFonts w:asciiTheme="minorHAnsi" w:hAnsiTheme="minorHAnsi" w:cstheme="minorHAnsi"/>
          <w:i/>
          <w:szCs w:val="20"/>
        </w:rPr>
        <w:t>Revista General de Derecho de los Sectores Regulados</w:t>
      </w:r>
      <w:r w:rsidRPr="001F4317">
        <w:rPr>
          <w:rFonts w:asciiTheme="minorHAnsi" w:hAnsiTheme="minorHAnsi" w:cstheme="minorHAnsi"/>
          <w:szCs w:val="20"/>
        </w:rPr>
        <w:t>, núm. 11, 2023</w:t>
      </w:r>
      <w:bookmarkEnd w:id="11"/>
      <w:r w:rsidRPr="001F4317">
        <w:rPr>
          <w:rFonts w:asciiTheme="minorHAnsi" w:hAnsiTheme="minorHAnsi" w:cstheme="minorHAnsi"/>
          <w:szCs w:val="20"/>
        </w:rPr>
        <w:t>, pg. 91.</w:t>
      </w:r>
    </w:p>
  </w:footnote>
  <w:footnote w:id="11">
    <w:p w14:paraId="705F503C" w14:textId="77777777" w:rsidR="000F4D2A" w:rsidRPr="001F4317" w:rsidRDefault="000F4D2A" w:rsidP="001F4317">
      <w:pPr>
        <w:pBdr>
          <w:top w:val="nil"/>
          <w:left w:val="nil"/>
          <w:bottom w:val="nil"/>
          <w:right w:val="nil"/>
          <w:between w:val="nil"/>
        </w:pBdr>
        <w:spacing w:after="0" w:line="240" w:lineRule="auto"/>
        <w:ind w:firstLine="0"/>
        <w:rPr>
          <w:rFonts w:asciiTheme="minorHAnsi" w:hAnsiTheme="minorHAnsi" w:cstheme="minorHAnsi"/>
          <w:color w:val="000000"/>
          <w:sz w:val="20"/>
          <w:szCs w:val="20"/>
        </w:rPr>
      </w:pPr>
      <w:r w:rsidRPr="001F4317">
        <w:rPr>
          <w:rFonts w:asciiTheme="minorHAnsi" w:hAnsiTheme="minorHAnsi" w:cstheme="minorHAnsi"/>
          <w:sz w:val="20"/>
          <w:szCs w:val="20"/>
          <w:vertAlign w:val="superscript"/>
        </w:rPr>
        <w:footnoteRef/>
      </w:r>
      <w:r w:rsidRPr="001F4317">
        <w:rPr>
          <w:rFonts w:asciiTheme="minorHAnsi" w:hAnsiTheme="minorHAnsi" w:cstheme="minorHAnsi"/>
          <w:color w:val="000000"/>
          <w:sz w:val="20"/>
          <w:szCs w:val="20"/>
        </w:rPr>
        <w:t xml:space="preserve"> Cfr. </w:t>
      </w:r>
      <w:r w:rsidRPr="001F4317">
        <w:rPr>
          <w:rFonts w:asciiTheme="minorHAnsi" w:hAnsiTheme="minorHAnsi" w:cstheme="minorHAnsi"/>
          <w:smallCaps/>
          <w:color w:val="000000"/>
          <w:sz w:val="20"/>
          <w:szCs w:val="20"/>
        </w:rPr>
        <w:t>Pacheco Jiménez</w:t>
      </w:r>
      <w:r w:rsidRPr="001F4317">
        <w:rPr>
          <w:rFonts w:asciiTheme="minorHAnsi" w:hAnsiTheme="minorHAnsi" w:cstheme="minorHAnsi"/>
          <w:color w:val="000000"/>
          <w:sz w:val="20"/>
          <w:szCs w:val="20"/>
        </w:rPr>
        <w:t xml:space="preserve">, “De la tecnología blockchain a la economía del token”, pg. 66 y </w:t>
      </w:r>
      <w:bookmarkStart w:id="12" w:name="_Hlk172566397"/>
      <w:r w:rsidRPr="001F4317">
        <w:rPr>
          <w:rFonts w:asciiTheme="minorHAnsi" w:hAnsiTheme="minorHAnsi" w:cstheme="minorHAnsi"/>
          <w:smallCaps/>
          <w:color w:val="000000"/>
          <w:sz w:val="20"/>
          <w:szCs w:val="20"/>
        </w:rPr>
        <w:t>García-Ramos Lucero,</w:t>
      </w:r>
      <w:r w:rsidRPr="001F4317">
        <w:rPr>
          <w:rFonts w:asciiTheme="minorHAnsi" w:hAnsiTheme="minorHAnsi" w:cstheme="minorHAnsi"/>
          <w:color w:val="000000"/>
          <w:sz w:val="20"/>
          <w:szCs w:val="20"/>
        </w:rPr>
        <w:t xml:space="preserve"> Miguel Ángel/</w:t>
      </w:r>
      <w:r w:rsidRPr="001F4317">
        <w:rPr>
          <w:rFonts w:asciiTheme="minorHAnsi" w:hAnsiTheme="minorHAnsi" w:cstheme="minorHAnsi"/>
          <w:smallCaps/>
          <w:color w:val="000000"/>
          <w:sz w:val="20"/>
          <w:szCs w:val="20"/>
        </w:rPr>
        <w:t>Rejas Muslera</w:t>
      </w:r>
      <w:r w:rsidRPr="001F4317">
        <w:rPr>
          <w:rFonts w:asciiTheme="minorHAnsi" w:hAnsiTheme="minorHAnsi" w:cstheme="minorHAnsi"/>
          <w:color w:val="000000"/>
          <w:sz w:val="20"/>
          <w:szCs w:val="20"/>
        </w:rPr>
        <w:t xml:space="preserve">, Ricardo, “Balance del régimen jurídico-económico de las </w:t>
      </w:r>
      <w:proofErr w:type="spellStart"/>
      <w:r w:rsidRPr="001F4317">
        <w:rPr>
          <w:rFonts w:asciiTheme="minorHAnsi" w:hAnsiTheme="minorHAnsi" w:cstheme="minorHAnsi"/>
          <w:color w:val="000000"/>
          <w:sz w:val="20"/>
          <w:szCs w:val="20"/>
        </w:rPr>
        <w:t>ICOs</w:t>
      </w:r>
      <w:proofErr w:type="spellEnd"/>
      <w:r w:rsidRPr="001F4317">
        <w:rPr>
          <w:rFonts w:asciiTheme="minorHAnsi" w:hAnsiTheme="minorHAnsi" w:cstheme="minorHAnsi"/>
          <w:color w:val="000000"/>
          <w:sz w:val="20"/>
          <w:szCs w:val="20"/>
        </w:rPr>
        <w:t xml:space="preserve"> en la financiación de las PYMES”, </w:t>
      </w:r>
      <w:r w:rsidRPr="001F4317">
        <w:rPr>
          <w:rFonts w:asciiTheme="minorHAnsi" w:hAnsiTheme="minorHAnsi" w:cstheme="minorHAnsi"/>
          <w:i/>
          <w:color w:val="000000"/>
          <w:sz w:val="20"/>
          <w:szCs w:val="20"/>
        </w:rPr>
        <w:t>Derecho y Cambio Social</w:t>
      </w:r>
      <w:r w:rsidRPr="001F4317">
        <w:rPr>
          <w:rFonts w:asciiTheme="minorHAnsi" w:hAnsiTheme="minorHAnsi" w:cstheme="minorHAnsi"/>
          <w:color w:val="000000"/>
          <w:sz w:val="20"/>
          <w:szCs w:val="20"/>
        </w:rPr>
        <w:t>, núm. 61, 2020</w:t>
      </w:r>
      <w:bookmarkEnd w:id="12"/>
      <w:r w:rsidRPr="001F4317">
        <w:rPr>
          <w:rFonts w:asciiTheme="minorHAnsi" w:hAnsiTheme="minorHAnsi" w:cstheme="minorHAnsi"/>
          <w:color w:val="000000"/>
          <w:sz w:val="20"/>
          <w:szCs w:val="20"/>
        </w:rPr>
        <w:t>, pg. 491.</w:t>
      </w:r>
    </w:p>
  </w:footnote>
  <w:footnote w:id="12">
    <w:p w14:paraId="56411A70" w14:textId="0AB32C70" w:rsidR="00C72061" w:rsidRPr="001F4317" w:rsidRDefault="00C72061"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bookmarkStart w:id="13" w:name="_Hlk172566404"/>
      <w:r w:rsidRPr="001F4317">
        <w:rPr>
          <w:rFonts w:asciiTheme="minorHAnsi" w:hAnsiTheme="minorHAnsi" w:cstheme="minorHAnsi"/>
          <w:smallCaps/>
          <w:szCs w:val="20"/>
        </w:rPr>
        <w:t>Rodríguez Martínez</w:t>
      </w:r>
      <w:r w:rsidRPr="001F4317">
        <w:rPr>
          <w:rFonts w:asciiTheme="minorHAnsi" w:hAnsiTheme="minorHAnsi" w:cstheme="minorHAnsi"/>
          <w:szCs w:val="20"/>
        </w:rPr>
        <w:t xml:space="preserve">, </w:t>
      </w:r>
      <w:r w:rsidR="009E5AA2" w:rsidRPr="001F4317">
        <w:rPr>
          <w:rFonts w:asciiTheme="minorHAnsi" w:hAnsiTheme="minorHAnsi" w:cstheme="minorHAnsi"/>
          <w:szCs w:val="20"/>
        </w:rPr>
        <w:t xml:space="preserve">Isabel, </w:t>
      </w:r>
      <w:r w:rsidRPr="001F4317">
        <w:rPr>
          <w:rFonts w:asciiTheme="minorHAnsi" w:hAnsiTheme="minorHAnsi" w:cstheme="minorHAnsi"/>
          <w:szCs w:val="20"/>
        </w:rPr>
        <w:t xml:space="preserve">“Regulación de las </w:t>
      </w:r>
      <w:proofErr w:type="spellStart"/>
      <w:r w:rsidRPr="001F4317">
        <w:rPr>
          <w:rFonts w:asciiTheme="minorHAnsi" w:hAnsiTheme="minorHAnsi" w:cstheme="minorHAnsi"/>
          <w:szCs w:val="20"/>
        </w:rPr>
        <w:t>FinTech</w:t>
      </w:r>
      <w:proofErr w:type="spellEnd"/>
      <w:r w:rsidRPr="001F4317">
        <w:rPr>
          <w:rFonts w:asciiTheme="minorHAnsi" w:hAnsiTheme="minorHAnsi" w:cstheme="minorHAnsi"/>
          <w:szCs w:val="20"/>
        </w:rPr>
        <w:t xml:space="preserve">”, en </w:t>
      </w:r>
      <w:r w:rsidRPr="001F4317">
        <w:rPr>
          <w:rFonts w:asciiTheme="minorHAnsi" w:hAnsiTheme="minorHAnsi" w:cstheme="minorHAnsi"/>
          <w:smallCaps/>
          <w:szCs w:val="20"/>
        </w:rPr>
        <w:t>Montero Pascual</w:t>
      </w:r>
      <w:r w:rsidR="009E5AA2" w:rsidRPr="001F4317">
        <w:rPr>
          <w:rFonts w:asciiTheme="minorHAnsi" w:hAnsiTheme="minorHAnsi" w:cstheme="minorHAnsi"/>
          <w:smallCaps/>
          <w:szCs w:val="20"/>
        </w:rPr>
        <w:t>,</w:t>
      </w:r>
      <w:r w:rsidRPr="001F4317">
        <w:rPr>
          <w:rFonts w:asciiTheme="minorHAnsi" w:hAnsiTheme="minorHAnsi" w:cstheme="minorHAnsi"/>
          <w:szCs w:val="20"/>
        </w:rPr>
        <w:t xml:space="preserve"> </w:t>
      </w:r>
      <w:r w:rsidR="009E5AA2" w:rsidRPr="001F4317">
        <w:rPr>
          <w:rFonts w:asciiTheme="minorHAnsi" w:hAnsiTheme="minorHAnsi" w:cstheme="minorHAnsi"/>
          <w:szCs w:val="20"/>
        </w:rPr>
        <w:t xml:space="preserve">Juan José </w:t>
      </w:r>
      <w:r w:rsidRPr="001F4317">
        <w:rPr>
          <w:rFonts w:asciiTheme="minorHAnsi" w:hAnsiTheme="minorHAnsi" w:cstheme="minorHAnsi"/>
          <w:szCs w:val="20"/>
        </w:rPr>
        <w:t xml:space="preserve">(coord.), </w:t>
      </w:r>
      <w:r w:rsidRPr="001F4317">
        <w:rPr>
          <w:rFonts w:asciiTheme="minorHAnsi" w:hAnsiTheme="minorHAnsi" w:cstheme="minorHAnsi"/>
          <w:i/>
          <w:iCs/>
          <w:szCs w:val="20"/>
        </w:rPr>
        <w:t>La regulación de los servicios digitales</w:t>
      </w:r>
      <w:r w:rsidRPr="001F4317">
        <w:rPr>
          <w:rFonts w:asciiTheme="minorHAnsi" w:hAnsiTheme="minorHAnsi" w:cstheme="minorHAnsi"/>
          <w:szCs w:val="20"/>
        </w:rPr>
        <w:t>, Tirant lo Blanch, Valencia, 2024</w:t>
      </w:r>
      <w:bookmarkEnd w:id="13"/>
      <w:r w:rsidRPr="001F4317">
        <w:rPr>
          <w:rFonts w:asciiTheme="minorHAnsi" w:hAnsiTheme="minorHAnsi" w:cstheme="minorHAnsi"/>
          <w:szCs w:val="20"/>
        </w:rPr>
        <w:t>, pgs. 284-285.</w:t>
      </w:r>
    </w:p>
  </w:footnote>
  <w:footnote w:id="13">
    <w:p w14:paraId="632E75A8" w14:textId="5BC78B71" w:rsidR="000F4D2A" w:rsidRPr="001F4317" w:rsidRDefault="000F4D2A" w:rsidP="001F4317">
      <w:pPr>
        <w:pStyle w:val="Textonotapie"/>
        <w:rPr>
          <w:rFonts w:asciiTheme="minorHAnsi" w:hAnsiTheme="minorHAnsi" w:cstheme="minorHAnsi"/>
          <w:iCs/>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bookmarkStart w:id="14" w:name="_Hlk172566423"/>
      <w:r w:rsidRPr="001F4317">
        <w:rPr>
          <w:rFonts w:asciiTheme="minorHAnsi" w:hAnsiTheme="minorHAnsi" w:cstheme="minorHAnsi"/>
          <w:smallCaps/>
          <w:szCs w:val="20"/>
        </w:rPr>
        <w:t>Pedreira Menéndez</w:t>
      </w:r>
      <w:r w:rsidRPr="001F4317">
        <w:rPr>
          <w:rFonts w:asciiTheme="minorHAnsi" w:hAnsiTheme="minorHAnsi" w:cstheme="minorHAnsi"/>
          <w:szCs w:val="20"/>
        </w:rPr>
        <w:t>, José</w:t>
      </w:r>
      <w:r w:rsidR="00F07083" w:rsidRPr="001F4317">
        <w:rPr>
          <w:rFonts w:asciiTheme="minorHAnsi" w:hAnsiTheme="minorHAnsi" w:cstheme="minorHAnsi"/>
          <w:szCs w:val="20"/>
        </w:rPr>
        <w:t>/</w:t>
      </w:r>
      <w:r w:rsidRPr="001F4317">
        <w:rPr>
          <w:rFonts w:asciiTheme="minorHAnsi" w:hAnsiTheme="minorHAnsi" w:cstheme="minorHAnsi"/>
          <w:smallCaps/>
          <w:szCs w:val="20"/>
        </w:rPr>
        <w:t>Álvarez Pérez</w:t>
      </w:r>
      <w:r w:rsidRPr="001F4317">
        <w:rPr>
          <w:rFonts w:asciiTheme="minorHAnsi" w:hAnsiTheme="minorHAnsi" w:cstheme="minorHAnsi"/>
          <w:szCs w:val="20"/>
        </w:rPr>
        <w:t xml:space="preserve">, Belén, “Las ICO como vía de financiación empresarial a través de tokens”, </w:t>
      </w:r>
      <w:r w:rsidRPr="001F4317">
        <w:rPr>
          <w:rFonts w:asciiTheme="minorHAnsi" w:hAnsiTheme="minorHAnsi" w:cstheme="minorHAnsi"/>
          <w:i/>
          <w:szCs w:val="20"/>
        </w:rPr>
        <w:t>Revista Quincena Fiscal</w:t>
      </w:r>
      <w:r w:rsidRPr="001F4317">
        <w:rPr>
          <w:rFonts w:asciiTheme="minorHAnsi" w:hAnsiTheme="minorHAnsi" w:cstheme="minorHAnsi"/>
          <w:szCs w:val="20"/>
        </w:rPr>
        <w:t xml:space="preserve">, </w:t>
      </w:r>
      <w:proofErr w:type="spellStart"/>
      <w:r w:rsidRPr="001F4317">
        <w:rPr>
          <w:rFonts w:asciiTheme="minorHAnsi" w:hAnsiTheme="minorHAnsi" w:cstheme="minorHAnsi"/>
          <w:szCs w:val="20"/>
        </w:rPr>
        <w:t>núms</w:t>
      </w:r>
      <w:proofErr w:type="spellEnd"/>
      <w:r w:rsidRPr="001F4317">
        <w:rPr>
          <w:rFonts w:asciiTheme="minorHAnsi" w:hAnsiTheme="minorHAnsi" w:cstheme="minorHAnsi"/>
          <w:szCs w:val="20"/>
        </w:rPr>
        <w:t xml:space="preserve">. 15-16, 2020, Documento Electrónico </w:t>
      </w:r>
      <w:r w:rsidR="00075FD5" w:rsidRPr="001F4317">
        <w:rPr>
          <w:rFonts w:asciiTheme="minorHAnsi" w:hAnsiTheme="minorHAnsi" w:cstheme="minorHAnsi"/>
          <w:szCs w:val="20"/>
        </w:rPr>
        <w:t xml:space="preserve">Aranzadi </w:t>
      </w:r>
      <w:r w:rsidRPr="001F4317">
        <w:rPr>
          <w:rFonts w:asciiTheme="minorHAnsi" w:hAnsiTheme="minorHAnsi" w:cstheme="minorHAnsi"/>
          <w:szCs w:val="20"/>
        </w:rPr>
        <w:t>BIB 2020\35309</w:t>
      </w:r>
      <w:bookmarkEnd w:id="14"/>
      <w:r w:rsidRPr="001F4317">
        <w:rPr>
          <w:rFonts w:asciiTheme="minorHAnsi" w:hAnsiTheme="minorHAnsi" w:cstheme="minorHAnsi"/>
          <w:szCs w:val="20"/>
        </w:rPr>
        <w:t>, pg. 10.</w:t>
      </w:r>
    </w:p>
  </w:footnote>
  <w:footnote w:id="14">
    <w:p w14:paraId="43096F7E" w14:textId="197CDA20"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color w:val="000000"/>
          <w:szCs w:val="20"/>
        </w:rPr>
        <w:t xml:space="preserve"> En función de la tipología concreta de cada criptoactivo regulado en MiCA, este libro blanco deberá ser simplemente notificado o autorizado previamente por la autoridad competente que, en España, son la CNMV y el Banco de España (arts. 128 y 129 LMVSI) y publicado en el sitio web del oferente para simplificar el </w:t>
      </w:r>
      <w:r w:rsidRPr="001F4317">
        <w:rPr>
          <w:rFonts w:asciiTheme="minorHAnsi" w:hAnsiTheme="minorHAnsi" w:cstheme="minorHAnsi"/>
          <w:szCs w:val="20"/>
        </w:rPr>
        <w:t>acceso y conocimiento de los potenciales inversores.</w:t>
      </w:r>
    </w:p>
  </w:footnote>
  <w:footnote w:id="15">
    <w:p w14:paraId="4EA0418C" w14:textId="23E947F7" w:rsidR="00D11356" w:rsidRPr="001F4317" w:rsidRDefault="00D11356"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Dado que la normativa sobre instrumentos financieros no fue concebida teniendo en cuenta la tecnología de registros distribuidos, era necesario reformar la Directiva </w:t>
      </w:r>
      <w:proofErr w:type="spellStart"/>
      <w:r w:rsidRPr="001F4317">
        <w:rPr>
          <w:rFonts w:asciiTheme="minorHAnsi" w:hAnsiTheme="minorHAnsi" w:cstheme="minorHAnsi"/>
          <w:szCs w:val="20"/>
        </w:rPr>
        <w:t>MiFID</w:t>
      </w:r>
      <w:proofErr w:type="spellEnd"/>
      <w:r w:rsidRPr="001F4317">
        <w:rPr>
          <w:rFonts w:asciiTheme="minorHAnsi" w:hAnsiTheme="minorHAnsi" w:cstheme="minorHAnsi"/>
          <w:szCs w:val="20"/>
        </w:rPr>
        <w:t xml:space="preserve"> II para incluir el fenómeno de la tokenización. Por ello, el Reglamento (UE) 2022/858 del Parlamento Europeo y del Consejo de 30 de mayo de 2022 que establece el régimen piloto de infraestructuras del mercado basadas en la tecnología de registro descentralizado modificó la definición de instrumento financiero contenida en el artículo 4.1.15 </w:t>
      </w:r>
      <w:proofErr w:type="spellStart"/>
      <w:r w:rsidRPr="001F4317">
        <w:rPr>
          <w:rFonts w:asciiTheme="minorHAnsi" w:hAnsiTheme="minorHAnsi" w:cstheme="minorHAnsi"/>
          <w:szCs w:val="20"/>
        </w:rPr>
        <w:t>MiFID</w:t>
      </w:r>
      <w:proofErr w:type="spellEnd"/>
      <w:r w:rsidRPr="001F4317">
        <w:rPr>
          <w:rFonts w:asciiTheme="minorHAnsi" w:hAnsiTheme="minorHAnsi" w:cstheme="minorHAnsi"/>
          <w:szCs w:val="20"/>
        </w:rPr>
        <w:t xml:space="preserve"> II.</w:t>
      </w:r>
    </w:p>
  </w:footnote>
  <w:footnote w:id="16">
    <w:p w14:paraId="62D186D1" w14:textId="75035B4F"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r w:rsidR="00587C52" w:rsidRPr="001F4317">
        <w:rPr>
          <w:rFonts w:asciiTheme="minorHAnsi" w:hAnsiTheme="minorHAnsi" w:cstheme="minorHAnsi"/>
          <w:szCs w:val="20"/>
        </w:rPr>
        <w:t xml:space="preserve">El incumplimiento de estas obligaciones facilita a los inversores impugnar los contratos por error en el consentimiento. </w:t>
      </w:r>
      <w:r w:rsidRPr="001F4317">
        <w:rPr>
          <w:rFonts w:asciiTheme="minorHAnsi" w:hAnsiTheme="minorHAnsi" w:cstheme="minorHAnsi"/>
          <w:szCs w:val="20"/>
        </w:rPr>
        <w:t xml:space="preserve">Cfr., entre otros, </w:t>
      </w:r>
      <w:bookmarkStart w:id="15" w:name="_Hlk172566454"/>
      <w:r w:rsidRPr="001F4317">
        <w:rPr>
          <w:rFonts w:asciiTheme="minorHAnsi" w:hAnsiTheme="minorHAnsi" w:cstheme="minorHAnsi"/>
          <w:smallCaps/>
          <w:szCs w:val="20"/>
        </w:rPr>
        <w:t>Valpuesta Gastaminza</w:t>
      </w:r>
      <w:r w:rsidRPr="001F4317">
        <w:rPr>
          <w:rFonts w:asciiTheme="minorHAnsi" w:hAnsiTheme="minorHAnsi" w:cstheme="minorHAnsi"/>
          <w:szCs w:val="20"/>
        </w:rPr>
        <w:t xml:space="preserve">, </w:t>
      </w:r>
      <w:r w:rsidR="00F07083" w:rsidRPr="001F4317">
        <w:rPr>
          <w:rFonts w:asciiTheme="minorHAnsi" w:hAnsiTheme="minorHAnsi" w:cstheme="minorHAnsi"/>
          <w:szCs w:val="20"/>
        </w:rPr>
        <w:t xml:space="preserve">Eduardo, </w:t>
      </w:r>
      <w:r w:rsidRPr="001F4317">
        <w:rPr>
          <w:rFonts w:asciiTheme="minorHAnsi" w:hAnsiTheme="minorHAnsi" w:cstheme="minorHAnsi"/>
          <w:szCs w:val="20"/>
        </w:rPr>
        <w:t xml:space="preserve">“Incumplimiento de la normativa comunitaria </w:t>
      </w:r>
      <w:proofErr w:type="spellStart"/>
      <w:r w:rsidRPr="001F4317">
        <w:rPr>
          <w:rFonts w:asciiTheme="minorHAnsi" w:hAnsiTheme="minorHAnsi" w:cstheme="minorHAnsi"/>
          <w:szCs w:val="20"/>
        </w:rPr>
        <w:t>M</w:t>
      </w:r>
      <w:r w:rsidR="00A214D4" w:rsidRPr="001F4317">
        <w:rPr>
          <w:rFonts w:asciiTheme="minorHAnsi" w:hAnsiTheme="minorHAnsi" w:cstheme="minorHAnsi"/>
          <w:szCs w:val="20"/>
        </w:rPr>
        <w:t>i</w:t>
      </w:r>
      <w:r w:rsidRPr="001F4317">
        <w:rPr>
          <w:rFonts w:asciiTheme="minorHAnsi" w:hAnsiTheme="minorHAnsi" w:cstheme="minorHAnsi"/>
          <w:szCs w:val="20"/>
        </w:rPr>
        <w:t>F</w:t>
      </w:r>
      <w:r w:rsidR="00A214D4" w:rsidRPr="001F4317">
        <w:rPr>
          <w:rFonts w:asciiTheme="minorHAnsi" w:hAnsiTheme="minorHAnsi" w:cstheme="minorHAnsi"/>
          <w:szCs w:val="20"/>
        </w:rPr>
        <w:t>I</w:t>
      </w:r>
      <w:r w:rsidRPr="001F4317">
        <w:rPr>
          <w:rFonts w:asciiTheme="minorHAnsi" w:hAnsiTheme="minorHAnsi" w:cstheme="minorHAnsi"/>
          <w:szCs w:val="20"/>
        </w:rPr>
        <w:t>D</w:t>
      </w:r>
      <w:proofErr w:type="spellEnd"/>
      <w:r w:rsidRPr="001F4317">
        <w:rPr>
          <w:rFonts w:asciiTheme="minorHAnsi" w:hAnsiTheme="minorHAnsi" w:cstheme="minorHAnsi"/>
          <w:szCs w:val="20"/>
        </w:rPr>
        <w:t xml:space="preserve"> en cuanto a los deberes de información y evaluación del cliente: consecuencias en el ámbito contractual según la jurisprudencia española”, </w:t>
      </w:r>
      <w:r w:rsidRPr="001F4317">
        <w:rPr>
          <w:rFonts w:asciiTheme="minorHAnsi" w:hAnsiTheme="minorHAnsi" w:cstheme="minorHAnsi"/>
          <w:i/>
          <w:iCs/>
          <w:szCs w:val="20"/>
        </w:rPr>
        <w:t>Cuadernos de Derecho Transnacional</w:t>
      </w:r>
      <w:r w:rsidRPr="001F4317">
        <w:rPr>
          <w:rFonts w:asciiTheme="minorHAnsi" w:hAnsiTheme="minorHAnsi" w:cstheme="minorHAnsi"/>
          <w:szCs w:val="20"/>
        </w:rPr>
        <w:t>, vol. 8, núm. 1, 2016</w:t>
      </w:r>
      <w:bookmarkEnd w:id="15"/>
      <w:r w:rsidRPr="001F4317">
        <w:rPr>
          <w:rFonts w:asciiTheme="minorHAnsi" w:hAnsiTheme="minorHAnsi" w:cstheme="minorHAnsi"/>
          <w:szCs w:val="20"/>
        </w:rPr>
        <w:t>, pgs. 297-298</w:t>
      </w:r>
      <w:r w:rsidRPr="001F4317">
        <w:rPr>
          <w:rFonts w:asciiTheme="minorHAnsi" w:hAnsiTheme="minorHAnsi" w:cstheme="minorHAnsi"/>
          <w:color w:val="000000"/>
          <w:szCs w:val="20"/>
        </w:rPr>
        <w:t>.</w:t>
      </w:r>
    </w:p>
  </w:footnote>
  <w:footnote w:id="17">
    <w:p w14:paraId="6CAFCEF8" w14:textId="5937F0E4" w:rsidR="000F4D2A" w:rsidRPr="0080490E" w:rsidRDefault="000F4D2A" w:rsidP="001F4317">
      <w:pPr>
        <w:pStyle w:val="Textonotapie"/>
        <w:rPr>
          <w:rFonts w:asciiTheme="minorHAnsi" w:hAnsiTheme="minorHAnsi" w:cstheme="minorHAnsi"/>
          <w:szCs w:val="20"/>
          <w:lang w:val="en-AU"/>
        </w:rPr>
      </w:pPr>
      <w:r w:rsidRPr="001F4317">
        <w:rPr>
          <w:rStyle w:val="Refdenotaalpie"/>
          <w:rFonts w:asciiTheme="minorHAnsi" w:hAnsiTheme="minorHAnsi" w:cstheme="minorHAnsi"/>
          <w:sz w:val="20"/>
          <w:szCs w:val="20"/>
        </w:rPr>
        <w:footnoteRef/>
      </w:r>
      <w:r w:rsidRPr="0080490E">
        <w:rPr>
          <w:rFonts w:asciiTheme="minorHAnsi" w:hAnsiTheme="minorHAnsi" w:cstheme="minorHAnsi"/>
          <w:szCs w:val="20"/>
          <w:lang w:val="en-AU"/>
        </w:rPr>
        <w:t xml:space="preserve"> </w:t>
      </w:r>
      <w:proofErr w:type="spellStart"/>
      <w:r w:rsidR="000251D7" w:rsidRPr="0080490E">
        <w:rPr>
          <w:rFonts w:asciiTheme="minorHAnsi" w:hAnsiTheme="minorHAnsi" w:cstheme="minorHAnsi"/>
          <w:szCs w:val="20"/>
          <w:lang w:val="en-AU"/>
        </w:rPr>
        <w:t>Cfr</w:t>
      </w:r>
      <w:proofErr w:type="spellEnd"/>
      <w:r w:rsidR="000251D7" w:rsidRPr="0080490E">
        <w:rPr>
          <w:rFonts w:asciiTheme="minorHAnsi" w:hAnsiTheme="minorHAnsi" w:cstheme="minorHAnsi"/>
          <w:szCs w:val="20"/>
          <w:lang w:val="en-AU"/>
        </w:rPr>
        <w:t xml:space="preserve">. </w:t>
      </w:r>
      <w:r w:rsidRPr="0080490E">
        <w:rPr>
          <w:rFonts w:asciiTheme="minorHAnsi" w:hAnsiTheme="minorHAnsi" w:cstheme="minorHAnsi"/>
          <w:szCs w:val="20"/>
          <w:lang w:val="en-AU"/>
        </w:rPr>
        <w:t>ESMA</w:t>
      </w:r>
      <w:r w:rsidR="00DD3828" w:rsidRPr="0080490E">
        <w:rPr>
          <w:rFonts w:asciiTheme="minorHAnsi" w:hAnsiTheme="minorHAnsi" w:cstheme="minorHAnsi"/>
          <w:szCs w:val="20"/>
          <w:lang w:val="en-AU"/>
        </w:rPr>
        <w:t xml:space="preserve">, </w:t>
      </w:r>
      <w:r w:rsidRPr="0080490E">
        <w:rPr>
          <w:rFonts w:asciiTheme="minorHAnsi" w:hAnsiTheme="minorHAnsi" w:cstheme="minorHAnsi"/>
          <w:i/>
          <w:szCs w:val="20"/>
          <w:lang w:val="en-AU"/>
        </w:rPr>
        <w:t>Consultation paper on the draft Guidelines on the conditions and criteria for the qualification of crypto-assets as financial instruments</w:t>
      </w:r>
      <w:r w:rsidRPr="0080490E">
        <w:rPr>
          <w:rFonts w:asciiTheme="minorHAnsi" w:hAnsiTheme="minorHAnsi" w:cstheme="minorHAnsi"/>
          <w:szCs w:val="20"/>
          <w:lang w:val="en-AU"/>
        </w:rPr>
        <w:t xml:space="preserve">, </w:t>
      </w:r>
      <w:proofErr w:type="spellStart"/>
      <w:r w:rsidRPr="0080490E">
        <w:rPr>
          <w:rFonts w:asciiTheme="minorHAnsi" w:hAnsiTheme="minorHAnsi" w:cstheme="minorHAnsi"/>
          <w:szCs w:val="20"/>
          <w:lang w:val="en-AU"/>
        </w:rPr>
        <w:t>núm</w:t>
      </w:r>
      <w:proofErr w:type="spellEnd"/>
      <w:r w:rsidRPr="0080490E">
        <w:rPr>
          <w:rFonts w:asciiTheme="minorHAnsi" w:hAnsiTheme="minorHAnsi" w:cstheme="minorHAnsi"/>
          <w:szCs w:val="20"/>
          <w:lang w:val="en-AU"/>
        </w:rPr>
        <w:t>. 10.</w:t>
      </w:r>
    </w:p>
  </w:footnote>
  <w:footnote w:id="18">
    <w:p w14:paraId="678A6E2B" w14:textId="2A69227B" w:rsidR="00903B1A" w:rsidRPr="0080490E" w:rsidRDefault="00903B1A" w:rsidP="001F4317">
      <w:pPr>
        <w:pStyle w:val="Textonotapie"/>
        <w:rPr>
          <w:rFonts w:asciiTheme="minorHAnsi" w:hAnsiTheme="minorHAnsi" w:cstheme="minorHAnsi"/>
          <w:szCs w:val="20"/>
          <w:lang w:val="en-AU"/>
        </w:rPr>
      </w:pPr>
      <w:r w:rsidRPr="001F4317">
        <w:rPr>
          <w:rStyle w:val="Refdenotaalpie"/>
          <w:rFonts w:asciiTheme="minorHAnsi" w:hAnsiTheme="minorHAnsi" w:cstheme="minorHAnsi"/>
          <w:sz w:val="20"/>
          <w:szCs w:val="20"/>
        </w:rPr>
        <w:footnoteRef/>
      </w:r>
      <w:r w:rsidRPr="0080490E">
        <w:rPr>
          <w:rFonts w:asciiTheme="minorHAnsi" w:hAnsiTheme="minorHAnsi" w:cstheme="minorHAnsi"/>
          <w:szCs w:val="20"/>
          <w:lang w:val="en-AU"/>
        </w:rPr>
        <w:t xml:space="preserve"> </w:t>
      </w:r>
      <w:proofErr w:type="spellStart"/>
      <w:r w:rsidRPr="0080490E">
        <w:rPr>
          <w:rFonts w:asciiTheme="minorHAnsi" w:hAnsiTheme="minorHAnsi" w:cstheme="minorHAnsi"/>
          <w:szCs w:val="20"/>
          <w:lang w:val="en-AU"/>
        </w:rPr>
        <w:t>Cfr</w:t>
      </w:r>
      <w:proofErr w:type="spellEnd"/>
      <w:r w:rsidRPr="0080490E">
        <w:rPr>
          <w:rFonts w:asciiTheme="minorHAnsi" w:hAnsiTheme="minorHAnsi" w:cstheme="minorHAnsi"/>
          <w:szCs w:val="20"/>
          <w:lang w:val="en-AU"/>
        </w:rPr>
        <w:t xml:space="preserve">. </w:t>
      </w:r>
      <w:r w:rsidR="000251D7" w:rsidRPr="0080490E">
        <w:rPr>
          <w:rFonts w:asciiTheme="minorHAnsi" w:hAnsiTheme="minorHAnsi" w:cstheme="minorHAnsi"/>
          <w:szCs w:val="20"/>
          <w:lang w:val="en-AU"/>
        </w:rPr>
        <w:t xml:space="preserve">ESMA, </w:t>
      </w:r>
      <w:r w:rsidRPr="0080490E">
        <w:rPr>
          <w:rFonts w:asciiTheme="minorHAnsi" w:hAnsiTheme="minorHAnsi" w:cstheme="minorHAnsi"/>
          <w:i/>
          <w:szCs w:val="20"/>
          <w:lang w:val="en-AU"/>
        </w:rPr>
        <w:t>Consultation paper on the draft Guidelines on the conditions and criteria for the qualification of crypto-assets as financial instruments</w:t>
      </w:r>
      <w:r w:rsidRPr="0080490E">
        <w:rPr>
          <w:rFonts w:asciiTheme="minorHAnsi" w:hAnsiTheme="minorHAnsi" w:cstheme="minorHAnsi"/>
          <w:szCs w:val="20"/>
          <w:lang w:val="en-AU"/>
        </w:rPr>
        <w:t xml:space="preserve">, </w:t>
      </w:r>
      <w:proofErr w:type="spellStart"/>
      <w:r w:rsidRPr="0080490E">
        <w:rPr>
          <w:rFonts w:asciiTheme="minorHAnsi" w:hAnsiTheme="minorHAnsi" w:cstheme="minorHAnsi"/>
          <w:szCs w:val="20"/>
          <w:lang w:val="en-AU"/>
        </w:rPr>
        <w:t>núm</w:t>
      </w:r>
      <w:proofErr w:type="spellEnd"/>
      <w:r w:rsidRPr="0080490E">
        <w:rPr>
          <w:rFonts w:asciiTheme="minorHAnsi" w:hAnsiTheme="minorHAnsi" w:cstheme="minorHAnsi"/>
          <w:szCs w:val="20"/>
          <w:lang w:val="en-AU"/>
        </w:rPr>
        <w:t>. 20.</w:t>
      </w:r>
    </w:p>
  </w:footnote>
  <w:footnote w:id="19">
    <w:p w14:paraId="7A25A030" w14:textId="0D146ED4"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El modelo de negocio escogido se corresponde con el </w:t>
      </w:r>
      <w:r w:rsidR="007F5EEE" w:rsidRPr="001F4317">
        <w:rPr>
          <w:rFonts w:asciiTheme="minorHAnsi" w:hAnsiTheme="minorHAnsi" w:cstheme="minorHAnsi"/>
          <w:szCs w:val="20"/>
        </w:rPr>
        <w:t>propuesto por</w:t>
      </w:r>
      <w:r w:rsidRPr="001F4317">
        <w:rPr>
          <w:rFonts w:asciiTheme="minorHAnsi" w:hAnsiTheme="minorHAnsi" w:cstheme="minorHAnsi"/>
          <w:szCs w:val="20"/>
        </w:rPr>
        <w:t xml:space="preserve"> la empresa </w:t>
      </w:r>
      <w:proofErr w:type="spellStart"/>
      <w:r w:rsidRPr="001F4317">
        <w:rPr>
          <w:rFonts w:asciiTheme="minorHAnsi" w:hAnsiTheme="minorHAnsi" w:cstheme="minorHAnsi"/>
          <w:szCs w:val="20"/>
        </w:rPr>
        <w:t>Reental</w:t>
      </w:r>
      <w:proofErr w:type="spellEnd"/>
      <w:r w:rsidRPr="001F4317">
        <w:rPr>
          <w:rFonts w:asciiTheme="minorHAnsi" w:hAnsiTheme="minorHAnsi" w:cstheme="minorHAnsi"/>
          <w:szCs w:val="20"/>
        </w:rPr>
        <w:t xml:space="preserve"> en su proyecto </w:t>
      </w:r>
      <w:r w:rsidR="00745CE9" w:rsidRPr="001F4317">
        <w:rPr>
          <w:rFonts w:asciiTheme="minorHAnsi" w:hAnsiTheme="minorHAnsi" w:cstheme="minorHAnsi"/>
          <w:szCs w:val="20"/>
        </w:rPr>
        <w:t>REENTAL-</w:t>
      </w:r>
      <w:r w:rsidRPr="001F4317">
        <w:rPr>
          <w:rFonts w:asciiTheme="minorHAnsi" w:hAnsiTheme="minorHAnsi" w:cstheme="minorHAnsi"/>
          <w:szCs w:val="20"/>
        </w:rPr>
        <w:t>MLG-</w:t>
      </w:r>
      <w:r w:rsidR="007B78D0" w:rsidRPr="001F4317">
        <w:rPr>
          <w:rFonts w:asciiTheme="minorHAnsi" w:hAnsiTheme="minorHAnsi" w:cstheme="minorHAnsi"/>
          <w:szCs w:val="20"/>
        </w:rPr>
        <w:t>8</w:t>
      </w:r>
      <w:r w:rsidRPr="001F4317">
        <w:rPr>
          <w:rFonts w:asciiTheme="minorHAnsi" w:hAnsiTheme="minorHAnsi" w:cstheme="minorHAnsi"/>
          <w:szCs w:val="20"/>
        </w:rPr>
        <w:t xml:space="preserve"> a través del cual se financia un proyecto inmobiliario a través de tokens.</w:t>
      </w:r>
    </w:p>
  </w:footnote>
  <w:footnote w:id="20">
    <w:p w14:paraId="67E24556" w14:textId="61EA42E1"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bookmarkStart w:id="16" w:name="_Hlk172566487"/>
      <w:r w:rsidRPr="001F4317">
        <w:rPr>
          <w:rFonts w:asciiTheme="minorHAnsi" w:hAnsiTheme="minorHAnsi" w:cstheme="minorHAnsi"/>
          <w:smallCaps/>
          <w:szCs w:val="20"/>
        </w:rPr>
        <w:t>Jiménez París,</w:t>
      </w:r>
      <w:r w:rsidRPr="001F4317">
        <w:rPr>
          <w:rFonts w:asciiTheme="minorHAnsi" w:hAnsiTheme="minorHAnsi" w:cstheme="minorHAnsi"/>
          <w:szCs w:val="20"/>
        </w:rPr>
        <w:t xml:space="preserve"> </w:t>
      </w:r>
      <w:r w:rsidR="00F07083" w:rsidRPr="001F4317">
        <w:rPr>
          <w:rFonts w:asciiTheme="minorHAnsi" w:hAnsiTheme="minorHAnsi" w:cstheme="minorHAnsi"/>
          <w:szCs w:val="20"/>
        </w:rPr>
        <w:t xml:space="preserve">Teresa Asunción, </w:t>
      </w:r>
      <w:r w:rsidRPr="001F4317">
        <w:rPr>
          <w:rFonts w:asciiTheme="minorHAnsi" w:hAnsiTheme="minorHAnsi" w:cstheme="minorHAnsi"/>
          <w:szCs w:val="20"/>
        </w:rPr>
        <w:t xml:space="preserve">“Breve introducción al fenómeno del </w:t>
      </w:r>
      <w:r w:rsidRPr="001F4317">
        <w:rPr>
          <w:rFonts w:asciiTheme="minorHAnsi" w:hAnsiTheme="minorHAnsi" w:cstheme="minorHAnsi"/>
          <w:i/>
          <w:szCs w:val="20"/>
        </w:rPr>
        <w:t>crowdfunding</w:t>
      </w:r>
      <w:r w:rsidRPr="001F4317">
        <w:rPr>
          <w:rFonts w:asciiTheme="minorHAnsi" w:hAnsiTheme="minorHAnsi" w:cstheme="minorHAnsi"/>
          <w:szCs w:val="20"/>
        </w:rPr>
        <w:t xml:space="preserve"> inmobiliario en España”, </w:t>
      </w:r>
      <w:r w:rsidRPr="001F4317">
        <w:rPr>
          <w:rFonts w:asciiTheme="minorHAnsi" w:hAnsiTheme="minorHAnsi" w:cstheme="minorHAnsi"/>
          <w:i/>
          <w:iCs/>
          <w:szCs w:val="20"/>
        </w:rPr>
        <w:t>Revista Crítica de Derecho Inmobiliario</w:t>
      </w:r>
      <w:r w:rsidRPr="001F4317">
        <w:rPr>
          <w:rFonts w:asciiTheme="minorHAnsi" w:hAnsiTheme="minorHAnsi" w:cstheme="minorHAnsi"/>
          <w:szCs w:val="20"/>
        </w:rPr>
        <w:t>, núm. 773, 2019</w:t>
      </w:r>
      <w:bookmarkEnd w:id="16"/>
      <w:r w:rsidRPr="001F4317">
        <w:rPr>
          <w:rFonts w:asciiTheme="minorHAnsi" w:hAnsiTheme="minorHAnsi" w:cstheme="minorHAnsi"/>
          <w:szCs w:val="20"/>
        </w:rPr>
        <w:t>, pg. 1589.</w:t>
      </w:r>
    </w:p>
  </w:footnote>
  <w:footnote w:id="21">
    <w:p w14:paraId="03CABAE1" w14:textId="384137C7" w:rsidR="00E60AA0" w:rsidRPr="001F4317" w:rsidRDefault="00E60AA0"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r w:rsidRPr="001F4317">
        <w:rPr>
          <w:rFonts w:asciiTheme="minorHAnsi" w:hAnsiTheme="minorHAnsi" w:cstheme="minorHAnsi"/>
          <w:smallCaps/>
          <w:color w:val="000000"/>
          <w:szCs w:val="20"/>
        </w:rPr>
        <w:t>Pacheco Jiménez</w:t>
      </w:r>
      <w:r w:rsidRPr="001F4317">
        <w:rPr>
          <w:rFonts w:asciiTheme="minorHAnsi" w:hAnsiTheme="minorHAnsi" w:cstheme="minorHAnsi"/>
          <w:color w:val="000000"/>
          <w:szCs w:val="20"/>
        </w:rPr>
        <w:t>, “De la tecnología blockchain a la economía del token”, pg. 70</w:t>
      </w:r>
      <w:r w:rsidR="000F66AA" w:rsidRPr="001F4317">
        <w:rPr>
          <w:rFonts w:asciiTheme="minorHAnsi" w:hAnsiTheme="minorHAnsi" w:cstheme="minorHAnsi"/>
          <w:color w:val="000000"/>
          <w:szCs w:val="20"/>
        </w:rPr>
        <w:t xml:space="preserve"> y </w:t>
      </w:r>
      <w:r w:rsidR="000F66AA" w:rsidRPr="001F4317">
        <w:rPr>
          <w:rFonts w:asciiTheme="minorHAnsi" w:hAnsiTheme="minorHAnsi" w:cstheme="minorHAnsi"/>
          <w:smallCaps/>
          <w:color w:val="000000"/>
          <w:szCs w:val="20"/>
        </w:rPr>
        <w:t>Otero Cobos</w:t>
      </w:r>
      <w:r w:rsidR="000F66AA" w:rsidRPr="001F4317">
        <w:rPr>
          <w:rFonts w:asciiTheme="minorHAnsi" w:hAnsiTheme="minorHAnsi" w:cstheme="minorHAnsi"/>
          <w:color w:val="000000"/>
          <w:szCs w:val="20"/>
        </w:rPr>
        <w:t xml:space="preserve">, Teresa, “Régimen de información y transparencia: el libro blanco de criptoactivos”, </w:t>
      </w:r>
      <w:r w:rsidR="000F66AA" w:rsidRPr="001F4317">
        <w:rPr>
          <w:rFonts w:asciiTheme="minorHAnsi" w:eastAsia="Times New Roman" w:hAnsiTheme="minorHAnsi" w:cstheme="minorHAnsi"/>
          <w:szCs w:val="20"/>
        </w:rPr>
        <w:t xml:space="preserve">en </w:t>
      </w:r>
      <w:r w:rsidR="000F66AA" w:rsidRPr="001F4317">
        <w:rPr>
          <w:rFonts w:asciiTheme="minorHAnsi" w:eastAsia="Times New Roman" w:hAnsiTheme="minorHAnsi" w:cstheme="minorHAnsi"/>
          <w:smallCaps/>
          <w:szCs w:val="20"/>
        </w:rPr>
        <w:t>Madrid Parra,</w:t>
      </w:r>
      <w:r w:rsidR="000F66AA" w:rsidRPr="001F4317">
        <w:rPr>
          <w:rFonts w:asciiTheme="minorHAnsi" w:eastAsia="Times New Roman" w:hAnsiTheme="minorHAnsi" w:cstheme="minorHAnsi"/>
          <w:szCs w:val="20"/>
        </w:rPr>
        <w:t xml:space="preserve"> Agustín/</w:t>
      </w:r>
      <w:r w:rsidR="000F66AA" w:rsidRPr="001F4317">
        <w:rPr>
          <w:rFonts w:asciiTheme="minorHAnsi" w:eastAsia="Times New Roman" w:hAnsiTheme="minorHAnsi" w:cstheme="minorHAnsi"/>
          <w:smallCaps/>
          <w:szCs w:val="20"/>
        </w:rPr>
        <w:t>Pastor Sempere</w:t>
      </w:r>
      <w:r w:rsidR="000F66AA" w:rsidRPr="001F4317">
        <w:rPr>
          <w:rFonts w:asciiTheme="minorHAnsi" w:eastAsia="Times New Roman" w:hAnsiTheme="minorHAnsi" w:cstheme="minorHAnsi"/>
          <w:szCs w:val="20"/>
        </w:rPr>
        <w:t>, Carmen,</w:t>
      </w:r>
      <w:r w:rsidR="000F66AA" w:rsidRPr="001F4317">
        <w:rPr>
          <w:rFonts w:asciiTheme="minorHAnsi" w:eastAsia="Times New Roman" w:hAnsiTheme="minorHAnsi" w:cstheme="minorHAnsi"/>
          <w:i/>
          <w:szCs w:val="20"/>
        </w:rPr>
        <w:t xml:space="preserve"> Guía de criptoactivos MiCA</w:t>
      </w:r>
      <w:r w:rsidR="000F66AA" w:rsidRPr="001F4317">
        <w:rPr>
          <w:rFonts w:asciiTheme="minorHAnsi" w:eastAsia="Times New Roman" w:hAnsiTheme="minorHAnsi" w:cstheme="minorHAnsi"/>
          <w:szCs w:val="20"/>
        </w:rPr>
        <w:t>, Thomson Reuters Aranzadi, Cizur Menor, 2021, pg. 192.</w:t>
      </w:r>
    </w:p>
  </w:footnote>
  <w:footnote w:id="22">
    <w:p w14:paraId="35414943" w14:textId="231DF7BC"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r w:rsidR="00C756C2" w:rsidRPr="001F4317">
        <w:rPr>
          <w:rFonts w:asciiTheme="minorHAnsi" w:hAnsiTheme="minorHAnsi" w:cstheme="minorHAnsi"/>
          <w:szCs w:val="20"/>
        </w:rPr>
        <w:t xml:space="preserve">El promotor del proyecto deberá, lógicamente, intercambiar las criptomonedas aportadas por el inversor por dinero de curso legal para financiar la adquisición del inmueble. </w:t>
      </w:r>
      <w:r w:rsidR="00B73C64" w:rsidRPr="001F4317">
        <w:rPr>
          <w:rFonts w:asciiTheme="minorHAnsi" w:hAnsiTheme="minorHAnsi" w:cstheme="minorHAnsi"/>
          <w:szCs w:val="20"/>
        </w:rPr>
        <w:t xml:space="preserve">También resulta factible realizar la inversión en moneda de curso legal, aunque </w:t>
      </w:r>
      <w:r w:rsidR="00EC6600" w:rsidRPr="001F4317">
        <w:rPr>
          <w:rFonts w:asciiTheme="minorHAnsi" w:hAnsiTheme="minorHAnsi" w:cstheme="minorHAnsi"/>
          <w:szCs w:val="20"/>
        </w:rPr>
        <w:t>siempre</w:t>
      </w:r>
      <w:r w:rsidR="00B73C64" w:rsidRPr="001F4317">
        <w:rPr>
          <w:rFonts w:asciiTheme="minorHAnsi" w:hAnsiTheme="minorHAnsi" w:cstheme="minorHAnsi"/>
          <w:szCs w:val="20"/>
        </w:rPr>
        <w:t xml:space="preserve"> se</w:t>
      </w:r>
      <w:r w:rsidR="00EC6600" w:rsidRPr="001F4317">
        <w:rPr>
          <w:rFonts w:asciiTheme="minorHAnsi" w:hAnsiTheme="minorHAnsi" w:cstheme="minorHAnsi"/>
          <w:szCs w:val="20"/>
        </w:rPr>
        <w:t>rá</w:t>
      </w:r>
      <w:r w:rsidR="00B73C64" w:rsidRPr="001F4317">
        <w:rPr>
          <w:rFonts w:asciiTheme="minorHAnsi" w:hAnsiTheme="minorHAnsi" w:cstheme="minorHAnsi"/>
          <w:szCs w:val="20"/>
        </w:rPr>
        <w:t xml:space="preserve"> precisa una dirección de </w:t>
      </w:r>
      <w:proofErr w:type="spellStart"/>
      <w:r w:rsidR="00B73C64" w:rsidRPr="001F4317">
        <w:rPr>
          <w:rFonts w:asciiTheme="minorHAnsi" w:hAnsiTheme="minorHAnsi" w:cstheme="minorHAnsi"/>
          <w:i/>
          <w:iCs/>
          <w:szCs w:val="20"/>
        </w:rPr>
        <w:t>wallet</w:t>
      </w:r>
      <w:proofErr w:type="spellEnd"/>
      <w:r w:rsidR="00B73C64" w:rsidRPr="001F4317">
        <w:rPr>
          <w:rFonts w:asciiTheme="minorHAnsi" w:hAnsiTheme="minorHAnsi" w:cstheme="minorHAnsi"/>
          <w:szCs w:val="20"/>
        </w:rPr>
        <w:t xml:space="preserve"> a la que remitir los tokens.</w:t>
      </w:r>
    </w:p>
  </w:footnote>
  <w:footnote w:id="23">
    <w:p w14:paraId="4CF17A60" w14:textId="011EA878"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Se descarta que se trate de una condición puramente potestativa porque no depende de la exclusiva voluntad del deudor (</w:t>
      </w:r>
      <w:r w:rsidR="00430C68" w:rsidRPr="001F4317">
        <w:rPr>
          <w:rFonts w:asciiTheme="minorHAnsi" w:hAnsiTheme="minorHAnsi" w:cstheme="minorHAnsi"/>
          <w:szCs w:val="20"/>
        </w:rPr>
        <w:t xml:space="preserve">art. </w:t>
      </w:r>
      <w:r w:rsidRPr="001F4317">
        <w:rPr>
          <w:rFonts w:asciiTheme="minorHAnsi" w:hAnsiTheme="minorHAnsi" w:cstheme="minorHAnsi"/>
          <w:szCs w:val="20"/>
        </w:rPr>
        <w:t>1115 CC). Asimismo, resulta de interés la referencia al artículo 1119 CC que impone al emisor la obligación de evitar las trabas que impidan la financiación del proyecto.</w:t>
      </w:r>
    </w:p>
  </w:footnote>
  <w:footnote w:id="24">
    <w:p w14:paraId="2C17064D" w14:textId="69402CF3" w:rsidR="00212A3D" w:rsidRPr="001F4317" w:rsidRDefault="00212A3D"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Aunque el artículo 1.5 de la </w:t>
      </w:r>
      <w:r w:rsidR="00621822" w:rsidRPr="001F4317">
        <w:rPr>
          <w:rFonts w:asciiTheme="minorHAnsi" w:hAnsiTheme="minorHAnsi" w:cstheme="minorHAnsi"/>
          <w:szCs w:val="20"/>
        </w:rPr>
        <w:t xml:space="preserve">Ley 10/2010, de 28 de abril, de prevención del blanqueo de capitales y de la financiación del terrorismo (tras su reforma operada por el Real Decreto-ley 7/2021, de 27 de abril) </w:t>
      </w:r>
      <w:r w:rsidRPr="001F4317">
        <w:rPr>
          <w:rFonts w:asciiTheme="minorHAnsi" w:hAnsiTheme="minorHAnsi" w:cstheme="minorHAnsi"/>
          <w:szCs w:val="20"/>
        </w:rPr>
        <w:t xml:space="preserve">rechaza la naturaleza dineraria de las criptomonedas, las </w:t>
      </w:r>
      <w:proofErr w:type="spellStart"/>
      <w:r w:rsidRPr="001F4317">
        <w:rPr>
          <w:rFonts w:asciiTheme="minorHAnsi" w:hAnsiTheme="minorHAnsi" w:cstheme="minorHAnsi"/>
          <w:i/>
          <w:iCs/>
          <w:szCs w:val="20"/>
        </w:rPr>
        <w:t>stablecoins</w:t>
      </w:r>
      <w:proofErr w:type="spellEnd"/>
      <w:r w:rsidRPr="001F4317">
        <w:rPr>
          <w:rFonts w:asciiTheme="minorHAnsi" w:hAnsiTheme="minorHAnsi" w:cstheme="minorHAnsi"/>
          <w:szCs w:val="20"/>
        </w:rPr>
        <w:t xml:space="preserve"> pueden referenciar su valor a la cotización de una moneda de curso legal.</w:t>
      </w:r>
      <w:r w:rsidR="00B356FD" w:rsidRPr="001F4317">
        <w:rPr>
          <w:rFonts w:asciiTheme="minorHAnsi" w:hAnsiTheme="minorHAnsi" w:cstheme="minorHAnsi"/>
          <w:szCs w:val="20"/>
        </w:rPr>
        <w:t xml:space="preserve"> De ahí que si el Euro es la moneda de curso legal y </w:t>
      </w:r>
      <w:r w:rsidR="00CD6099" w:rsidRPr="001F4317">
        <w:rPr>
          <w:rFonts w:asciiTheme="minorHAnsi" w:hAnsiTheme="minorHAnsi" w:cstheme="minorHAnsi"/>
          <w:szCs w:val="20"/>
        </w:rPr>
        <w:t>el inversor percibe su</w:t>
      </w:r>
      <w:r w:rsidR="00B356FD" w:rsidRPr="001F4317">
        <w:rPr>
          <w:rFonts w:asciiTheme="minorHAnsi" w:hAnsiTheme="minorHAnsi" w:cstheme="minorHAnsi"/>
          <w:szCs w:val="20"/>
        </w:rPr>
        <w:t xml:space="preserve"> retribución en una </w:t>
      </w:r>
      <w:proofErr w:type="spellStart"/>
      <w:r w:rsidR="00B356FD" w:rsidRPr="001F4317">
        <w:rPr>
          <w:rFonts w:asciiTheme="minorHAnsi" w:hAnsiTheme="minorHAnsi" w:cstheme="minorHAnsi"/>
          <w:i/>
          <w:iCs/>
          <w:szCs w:val="20"/>
        </w:rPr>
        <w:t>stablecoin</w:t>
      </w:r>
      <w:proofErr w:type="spellEnd"/>
      <w:r w:rsidR="00B356FD" w:rsidRPr="001F4317">
        <w:rPr>
          <w:rFonts w:asciiTheme="minorHAnsi" w:hAnsiTheme="minorHAnsi" w:cstheme="minorHAnsi"/>
          <w:szCs w:val="20"/>
        </w:rPr>
        <w:t xml:space="preserve"> referenciada a otra divisa haya riesgo de </w:t>
      </w:r>
      <w:r w:rsidR="007F6FF2" w:rsidRPr="001F4317">
        <w:rPr>
          <w:rFonts w:asciiTheme="minorHAnsi" w:hAnsiTheme="minorHAnsi" w:cstheme="minorHAnsi"/>
          <w:szCs w:val="20"/>
        </w:rPr>
        <w:t>depreciación.</w:t>
      </w:r>
    </w:p>
  </w:footnote>
  <w:footnote w:id="25">
    <w:p w14:paraId="1664DE59" w14:textId="7165956C" w:rsidR="00DB71AB" w:rsidRPr="001F4317" w:rsidRDefault="00DB71AB"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bookmarkStart w:id="17" w:name="_Hlk172566534"/>
      <w:bookmarkStart w:id="18" w:name="_Hlk172566514"/>
      <w:r w:rsidR="00210EDF" w:rsidRPr="001F4317">
        <w:rPr>
          <w:rStyle w:val="TextonotapieCar"/>
          <w:rFonts w:asciiTheme="minorHAnsi" w:hAnsiTheme="minorHAnsi" w:cstheme="minorHAnsi"/>
          <w:smallCaps/>
          <w:szCs w:val="20"/>
        </w:rPr>
        <w:t>Goñi Rodríguez de Almeida</w:t>
      </w:r>
      <w:r w:rsidR="00210EDF" w:rsidRPr="001F4317">
        <w:rPr>
          <w:rStyle w:val="TextonotapieCar"/>
          <w:rFonts w:asciiTheme="minorHAnsi" w:hAnsiTheme="minorHAnsi" w:cstheme="minorHAnsi"/>
          <w:szCs w:val="20"/>
        </w:rPr>
        <w:t>, María</w:t>
      </w:r>
      <w:r w:rsidR="00343F79" w:rsidRPr="001F4317">
        <w:rPr>
          <w:rStyle w:val="TextonotapieCar"/>
          <w:rFonts w:asciiTheme="minorHAnsi" w:hAnsiTheme="minorHAnsi" w:cstheme="minorHAnsi"/>
          <w:szCs w:val="20"/>
        </w:rPr>
        <w:t>,</w:t>
      </w:r>
      <w:r w:rsidR="00210EDF" w:rsidRPr="001F4317">
        <w:rPr>
          <w:rStyle w:val="TextonotapieCar"/>
          <w:rFonts w:asciiTheme="minorHAnsi" w:hAnsiTheme="minorHAnsi" w:cstheme="minorHAnsi"/>
          <w:szCs w:val="20"/>
        </w:rPr>
        <w:t xml:space="preserve"> “El </w:t>
      </w:r>
      <w:r w:rsidR="00210EDF" w:rsidRPr="001F4317">
        <w:rPr>
          <w:rStyle w:val="TextonotapieCar"/>
          <w:rFonts w:asciiTheme="minorHAnsi" w:hAnsiTheme="minorHAnsi" w:cstheme="minorHAnsi"/>
          <w:i/>
          <w:szCs w:val="20"/>
        </w:rPr>
        <w:t>crowdfunding</w:t>
      </w:r>
      <w:r w:rsidR="00210EDF" w:rsidRPr="001F4317">
        <w:rPr>
          <w:rStyle w:val="TextonotapieCar"/>
          <w:rFonts w:asciiTheme="minorHAnsi" w:hAnsiTheme="minorHAnsi" w:cstheme="minorHAnsi"/>
          <w:szCs w:val="20"/>
        </w:rPr>
        <w:t xml:space="preserve"> como herramienta de financiación inmobiliaria: realidades y problemas”</w:t>
      </w:r>
      <w:bookmarkEnd w:id="17"/>
      <w:r w:rsidR="00210EDF" w:rsidRPr="001F4317">
        <w:rPr>
          <w:rStyle w:val="TextonotapieCar"/>
          <w:rFonts w:asciiTheme="minorHAnsi" w:hAnsiTheme="minorHAnsi" w:cstheme="minorHAnsi"/>
          <w:szCs w:val="20"/>
        </w:rPr>
        <w:t xml:space="preserve">, </w:t>
      </w:r>
      <w:r w:rsidR="00092E29" w:rsidRPr="001F4317">
        <w:rPr>
          <w:rStyle w:val="TextonotapieCar"/>
          <w:rFonts w:asciiTheme="minorHAnsi" w:hAnsiTheme="minorHAnsi" w:cstheme="minorHAnsi"/>
          <w:i/>
          <w:iCs/>
          <w:szCs w:val="20"/>
        </w:rPr>
        <w:t>Revista de Derecho Civil</w:t>
      </w:r>
      <w:r w:rsidR="00210EDF" w:rsidRPr="001F4317">
        <w:rPr>
          <w:rStyle w:val="TextonotapieCar"/>
          <w:rFonts w:asciiTheme="minorHAnsi" w:hAnsiTheme="minorHAnsi" w:cstheme="minorHAnsi"/>
          <w:szCs w:val="20"/>
        </w:rPr>
        <w:t xml:space="preserve">, </w:t>
      </w:r>
      <w:r w:rsidR="00210EDF" w:rsidRPr="001F4317">
        <w:rPr>
          <w:rFonts w:asciiTheme="minorHAnsi" w:hAnsiTheme="minorHAnsi" w:cstheme="minorHAnsi"/>
          <w:szCs w:val="20"/>
        </w:rPr>
        <w:t>vol. VII, núm. 5</w:t>
      </w:r>
      <w:r w:rsidR="00210EDF" w:rsidRPr="001F4317">
        <w:rPr>
          <w:rStyle w:val="TextonotapieCar"/>
          <w:rFonts w:asciiTheme="minorHAnsi" w:hAnsiTheme="minorHAnsi" w:cstheme="minorHAnsi"/>
          <w:szCs w:val="20"/>
        </w:rPr>
        <w:t xml:space="preserve">, 2020, pg. 322 y </w:t>
      </w:r>
      <w:r w:rsidRPr="001F4317">
        <w:rPr>
          <w:rFonts w:asciiTheme="minorHAnsi" w:hAnsiTheme="minorHAnsi" w:cstheme="minorHAnsi"/>
          <w:smallCaps/>
          <w:szCs w:val="20"/>
        </w:rPr>
        <w:t>López Ortega</w:t>
      </w:r>
      <w:r w:rsidRPr="001F4317">
        <w:rPr>
          <w:rFonts w:asciiTheme="minorHAnsi" w:hAnsiTheme="minorHAnsi" w:cstheme="minorHAnsi"/>
          <w:szCs w:val="20"/>
        </w:rPr>
        <w:t xml:space="preserve">, </w:t>
      </w:r>
      <w:r w:rsidR="00F07083" w:rsidRPr="001F4317">
        <w:rPr>
          <w:rFonts w:asciiTheme="minorHAnsi" w:hAnsiTheme="minorHAnsi" w:cstheme="minorHAnsi"/>
          <w:szCs w:val="20"/>
        </w:rPr>
        <w:t xml:space="preserve">Raquel, </w:t>
      </w:r>
      <w:r w:rsidRPr="001F4317">
        <w:rPr>
          <w:rFonts w:asciiTheme="minorHAnsi" w:hAnsiTheme="minorHAnsi" w:cstheme="minorHAnsi"/>
          <w:szCs w:val="20"/>
        </w:rPr>
        <w:t xml:space="preserve">“Las plataformas de financiación participativa a la luz de la nueva regulación europea del </w:t>
      </w:r>
      <w:r w:rsidRPr="001F4317">
        <w:rPr>
          <w:rFonts w:asciiTheme="minorHAnsi" w:hAnsiTheme="minorHAnsi" w:cstheme="minorHAnsi"/>
          <w:i/>
          <w:szCs w:val="20"/>
        </w:rPr>
        <w:t>crowdfunding</w:t>
      </w:r>
      <w:r w:rsidRPr="001F4317">
        <w:rPr>
          <w:rFonts w:asciiTheme="minorHAnsi" w:hAnsiTheme="minorHAnsi" w:cstheme="minorHAnsi"/>
          <w:szCs w:val="20"/>
        </w:rPr>
        <w:t xml:space="preserve">”, </w:t>
      </w:r>
      <w:r w:rsidR="00092E29" w:rsidRPr="001F4317">
        <w:rPr>
          <w:rFonts w:asciiTheme="minorHAnsi" w:hAnsiTheme="minorHAnsi" w:cstheme="minorHAnsi"/>
          <w:i/>
          <w:iCs/>
          <w:szCs w:val="20"/>
        </w:rPr>
        <w:t xml:space="preserve">Revista </w:t>
      </w:r>
      <w:r w:rsidRPr="001F4317">
        <w:rPr>
          <w:rFonts w:asciiTheme="minorHAnsi" w:hAnsiTheme="minorHAnsi" w:cstheme="minorHAnsi"/>
          <w:i/>
          <w:iCs/>
          <w:szCs w:val="20"/>
        </w:rPr>
        <w:t xml:space="preserve">de </w:t>
      </w:r>
      <w:r w:rsidR="00092E29" w:rsidRPr="001F4317">
        <w:rPr>
          <w:rFonts w:asciiTheme="minorHAnsi" w:hAnsiTheme="minorHAnsi" w:cstheme="minorHAnsi"/>
          <w:i/>
          <w:iCs/>
          <w:szCs w:val="20"/>
        </w:rPr>
        <w:t xml:space="preserve">Derecho Bancario </w:t>
      </w:r>
      <w:r w:rsidRPr="001F4317">
        <w:rPr>
          <w:rFonts w:asciiTheme="minorHAnsi" w:hAnsiTheme="minorHAnsi" w:cstheme="minorHAnsi"/>
          <w:i/>
          <w:iCs/>
          <w:szCs w:val="20"/>
        </w:rPr>
        <w:t xml:space="preserve">y </w:t>
      </w:r>
      <w:r w:rsidR="00092E29" w:rsidRPr="001F4317">
        <w:rPr>
          <w:rFonts w:asciiTheme="minorHAnsi" w:hAnsiTheme="minorHAnsi" w:cstheme="minorHAnsi"/>
          <w:i/>
          <w:iCs/>
          <w:szCs w:val="20"/>
        </w:rPr>
        <w:t>Bursátil</w:t>
      </w:r>
      <w:r w:rsidRPr="001F4317">
        <w:rPr>
          <w:rFonts w:asciiTheme="minorHAnsi" w:hAnsiTheme="minorHAnsi" w:cstheme="minorHAnsi"/>
          <w:szCs w:val="20"/>
        </w:rPr>
        <w:t>, núm. 162, 2021</w:t>
      </w:r>
      <w:bookmarkEnd w:id="18"/>
      <w:r w:rsidRPr="001F4317">
        <w:rPr>
          <w:rFonts w:asciiTheme="minorHAnsi" w:hAnsiTheme="minorHAnsi" w:cstheme="minorHAnsi"/>
          <w:szCs w:val="20"/>
        </w:rPr>
        <w:t>, pgs. 155-204.</w:t>
      </w:r>
    </w:p>
  </w:footnote>
  <w:footnote w:id="26">
    <w:p w14:paraId="53E68912" w14:textId="28665CFC" w:rsidR="00EA05A0" w:rsidRPr="001F4317" w:rsidRDefault="00EA05A0"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bookmarkStart w:id="19" w:name="_Hlk172566564"/>
      <w:r w:rsidR="00F95A4C" w:rsidRPr="001F4317">
        <w:rPr>
          <w:rFonts w:asciiTheme="minorHAnsi" w:hAnsiTheme="minorHAnsi" w:cstheme="minorHAnsi"/>
          <w:smallCaps/>
          <w:szCs w:val="20"/>
        </w:rPr>
        <w:t>D</w:t>
      </w:r>
      <w:r w:rsidRPr="001F4317">
        <w:rPr>
          <w:rFonts w:asciiTheme="minorHAnsi" w:hAnsiTheme="minorHAnsi" w:cstheme="minorHAnsi"/>
          <w:smallCaps/>
          <w:szCs w:val="20"/>
        </w:rPr>
        <w:t>e Goñi Barbarin</w:t>
      </w:r>
      <w:r w:rsidRPr="001F4317">
        <w:rPr>
          <w:rFonts w:asciiTheme="minorHAnsi" w:hAnsiTheme="minorHAnsi" w:cstheme="minorHAnsi"/>
          <w:szCs w:val="20"/>
        </w:rPr>
        <w:t xml:space="preserve">, María, “Servicios de intermediación contractual prestados por plataformas digitales: la financiación participativa a través de préstamos”, </w:t>
      </w:r>
      <w:r w:rsidRPr="001F4317">
        <w:rPr>
          <w:rFonts w:asciiTheme="minorHAnsi" w:hAnsiTheme="minorHAnsi" w:cstheme="minorHAnsi"/>
          <w:i/>
          <w:szCs w:val="20"/>
        </w:rPr>
        <w:t>Revista Crítica de Derecho Inmobiliario</w:t>
      </w:r>
      <w:r w:rsidRPr="001F4317">
        <w:rPr>
          <w:rFonts w:asciiTheme="minorHAnsi" w:hAnsiTheme="minorHAnsi" w:cstheme="minorHAnsi"/>
          <w:szCs w:val="20"/>
        </w:rPr>
        <w:t>, núm. 800, 2023</w:t>
      </w:r>
      <w:bookmarkEnd w:id="19"/>
      <w:r w:rsidRPr="001F4317">
        <w:rPr>
          <w:rFonts w:asciiTheme="minorHAnsi" w:hAnsiTheme="minorHAnsi" w:cstheme="minorHAnsi"/>
          <w:szCs w:val="20"/>
        </w:rPr>
        <w:t>, pg. 3252.</w:t>
      </w:r>
    </w:p>
  </w:footnote>
  <w:footnote w:id="27">
    <w:p w14:paraId="4E254C48" w14:textId="273D8A6C" w:rsidR="00EA05A0" w:rsidRPr="001F4317" w:rsidRDefault="00EA05A0"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bookmarkStart w:id="20" w:name="_Hlk172566580"/>
      <w:r w:rsidRPr="001F4317">
        <w:rPr>
          <w:rFonts w:asciiTheme="minorHAnsi" w:hAnsiTheme="minorHAnsi" w:cstheme="minorHAnsi"/>
          <w:szCs w:val="20"/>
        </w:rPr>
        <w:t xml:space="preserve">Matilde </w:t>
      </w:r>
      <w:proofErr w:type="spellStart"/>
      <w:r w:rsidRPr="001F4317">
        <w:rPr>
          <w:rFonts w:asciiTheme="minorHAnsi" w:hAnsiTheme="minorHAnsi" w:cstheme="minorHAnsi"/>
          <w:smallCaps/>
          <w:szCs w:val="20"/>
        </w:rPr>
        <w:t>Cuena</w:t>
      </w:r>
      <w:proofErr w:type="spellEnd"/>
      <w:r w:rsidRPr="001F4317">
        <w:rPr>
          <w:rFonts w:asciiTheme="minorHAnsi" w:hAnsiTheme="minorHAnsi" w:cstheme="minorHAnsi"/>
          <w:smallCaps/>
          <w:szCs w:val="20"/>
        </w:rPr>
        <w:t xml:space="preserve"> Casas</w:t>
      </w:r>
      <w:r w:rsidRPr="001F4317">
        <w:rPr>
          <w:rFonts w:asciiTheme="minorHAnsi" w:hAnsiTheme="minorHAnsi" w:cstheme="minorHAnsi"/>
          <w:szCs w:val="20"/>
        </w:rPr>
        <w:t xml:space="preserve"> (“Régimen jurídico del crowdlending o préstamo en masa en el Derecho Español”, en </w:t>
      </w:r>
      <w:proofErr w:type="spellStart"/>
      <w:r w:rsidRPr="001F4317">
        <w:rPr>
          <w:rFonts w:asciiTheme="minorHAnsi" w:hAnsiTheme="minorHAnsi" w:cstheme="minorHAnsi"/>
          <w:smallCaps/>
          <w:szCs w:val="20"/>
        </w:rPr>
        <w:t>Cuena</w:t>
      </w:r>
      <w:proofErr w:type="spellEnd"/>
      <w:r w:rsidRPr="001F4317">
        <w:rPr>
          <w:rFonts w:asciiTheme="minorHAnsi" w:hAnsiTheme="minorHAnsi" w:cstheme="minorHAnsi"/>
          <w:smallCaps/>
          <w:szCs w:val="20"/>
        </w:rPr>
        <w:t xml:space="preserve"> Casas,</w:t>
      </w:r>
      <w:r w:rsidRPr="001F4317">
        <w:rPr>
          <w:rFonts w:asciiTheme="minorHAnsi" w:hAnsiTheme="minorHAnsi" w:cstheme="minorHAnsi"/>
          <w:szCs w:val="20"/>
        </w:rPr>
        <w:t xml:space="preserve"> Matilde/</w:t>
      </w:r>
      <w:r w:rsidRPr="001F4317">
        <w:rPr>
          <w:rFonts w:asciiTheme="minorHAnsi" w:hAnsiTheme="minorHAnsi" w:cstheme="minorHAnsi"/>
          <w:smallCaps/>
          <w:szCs w:val="20"/>
        </w:rPr>
        <w:t>Ibáñez Jiménez,</w:t>
      </w:r>
      <w:r w:rsidRPr="001F4317">
        <w:rPr>
          <w:rFonts w:asciiTheme="minorHAnsi" w:hAnsiTheme="minorHAnsi" w:cstheme="minorHAnsi"/>
          <w:szCs w:val="20"/>
        </w:rPr>
        <w:t xml:space="preserve"> Javier (dirs.), </w:t>
      </w:r>
      <w:r w:rsidRPr="001F4317">
        <w:rPr>
          <w:rFonts w:asciiTheme="minorHAnsi" w:hAnsiTheme="minorHAnsi" w:cstheme="minorHAnsi"/>
          <w:i/>
          <w:szCs w:val="20"/>
        </w:rPr>
        <w:t xml:space="preserve">Perspectiva legal y económica del fenómeno </w:t>
      </w:r>
      <w:proofErr w:type="spellStart"/>
      <w:r w:rsidRPr="001F4317">
        <w:rPr>
          <w:rFonts w:asciiTheme="minorHAnsi" w:hAnsiTheme="minorHAnsi" w:cstheme="minorHAnsi"/>
          <w:i/>
          <w:szCs w:val="20"/>
        </w:rPr>
        <w:t>FinTech</w:t>
      </w:r>
      <w:proofErr w:type="spellEnd"/>
      <w:r w:rsidRPr="001F4317">
        <w:rPr>
          <w:rFonts w:asciiTheme="minorHAnsi" w:hAnsiTheme="minorHAnsi" w:cstheme="minorHAnsi"/>
          <w:szCs w:val="20"/>
        </w:rPr>
        <w:t xml:space="preserve">, Wolters </w:t>
      </w:r>
      <w:proofErr w:type="spellStart"/>
      <w:r w:rsidRPr="001F4317">
        <w:rPr>
          <w:rFonts w:asciiTheme="minorHAnsi" w:hAnsiTheme="minorHAnsi" w:cstheme="minorHAnsi"/>
          <w:szCs w:val="20"/>
        </w:rPr>
        <w:t>Kluwer</w:t>
      </w:r>
      <w:proofErr w:type="spellEnd"/>
      <w:r w:rsidRPr="001F4317">
        <w:rPr>
          <w:rFonts w:asciiTheme="minorHAnsi" w:hAnsiTheme="minorHAnsi" w:cstheme="minorHAnsi"/>
          <w:szCs w:val="20"/>
        </w:rPr>
        <w:t>, Madrid, 2021</w:t>
      </w:r>
      <w:bookmarkEnd w:id="20"/>
      <w:r w:rsidRPr="001F4317">
        <w:rPr>
          <w:rFonts w:asciiTheme="minorHAnsi" w:hAnsiTheme="minorHAnsi" w:cstheme="minorHAnsi"/>
          <w:szCs w:val="20"/>
        </w:rPr>
        <w:t xml:space="preserve">, pgs. 434-435) critica la agrupación del </w:t>
      </w:r>
      <w:r w:rsidRPr="001F4317">
        <w:rPr>
          <w:rFonts w:asciiTheme="minorHAnsi" w:hAnsiTheme="minorHAnsi" w:cstheme="minorHAnsi"/>
          <w:i/>
          <w:iCs/>
          <w:szCs w:val="20"/>
        </w:rPr>
        <w:t>crowdlending</w:t>
      </w:r>
      <w:r w:rsidRPr="001F4317">
        <w:rPr>
          <w:rFonts w:asciiTheme="minorHAnsi" w:hAnsiTheme="minorHAnsi" w:cstheme="minorHAnsi"/>
          <w:szCs w:val="20"/>
        </w:rPr>
        <w:t xml:space="preserve"> y el </w:t>
      </w:r>
      <w:proofErr w:type="spellStart"/>
      <w:r w:rsidRPr="001F4317">
        <w:rPr>
          <w:rFonts w:asciiTheme="minorHAnsi" w:hAnsiTheme="minorHAnsi" w:cstheme="minorHAnsi"/>
          <w:i/>
          <w:iCs/>
          <w:szCs w:val="20"/>
        </w:rPr>
        <w:t>equity</w:t>
      </w:r>
      <w:proofErr w:type="spellEnd"/>
      <w:r w:rsidRPr="001F4317">
        <w:rPr>
          <w:rFonts w:asciiTheme="minorHAnsi" w:hAnsiTheme="minorHAnsi" w:cstheme="minorHAnsi"/>
          <w:szCs w:val="20"/>
        </w:rPr>
        <w:t xml:space="preserve"> o </w:t>
      </w:r>
      <w:proofErr w:type="spellStart"/>
      <w:r w:rsidRPr="001F4317">
        <w:rPr>
          <w:rFonts w:asciiTheme="minorHAnsi" w:hAnsiTheme="minorHAnsi" w:cstheme="minorHAnsi"/>
          <w:i/>
          <w:iCs/>
          <w:szCs w:val="20"/>
        </w:rPr>
        <w:t>debt</w:t>
      </w:r>
      <w:proofErr w:type="spellEnd"/>
      <w:r w:rsidRPr="001F4317">
        <w:rPr>
          <w:rFonts w:asciiTheme="minorHAnsi" w:hAnsiTheme="minorHAnsi" w:cstheme="minorHAnsi"/>
          <w:szCs w:val="20"/>
        </w:rPr>
        <w:t xml:space="preserve"> </w:t>
      </w:r>
      <w:r w:rsidRPr="001F4317">
        <w:rPr>
          <w:rFonts w:asciiTheme="minorHAnsi" w:hAnsiTheme="minorHAnsi" w:cstheme="minorHAnsi"/>
          <w:i/>
          <w:iCs/>
          <w:szCs w:val="20"/>
        </w:rPr>
        <w:t>crow</w:t>
      </w:r>
      <w:r w:rsidR="00CD6099" w:rsidRPr="001F4317">
        <w:rPr>
          <w:rFonts w:asciiTheme="minorHAnsi" w:hAnsiTheme="minorHAnsi" w:cstheme="minorHAnsi"/>
          <w:i/>
          <w:iCs/>
          <w:szCs w:val="20"/>
        </w:rPr>
        <w:t>d</w:t>
      </w:r>
      <w:r w:rsidRPr="001F4317">
        <w:rPr>
          <w:rFonts w:asciiTheme="minorHAnsi" w:hAnsiTheme="minorHAnsi" w:cstheme="minorHAnsi"/>
          <w:i/>
          <w:iCs/>
          <w:szCs w:val="20"/>
        </w:rPr>
        <w:t>funding</w:t>
      </w:r>
      <w:r w:rsidRPr="001F4317">
        <w:rPr>
          <w:rFonts w:asciiTheme="minorHAnsi" w:hAnsiTheme="minorHAnsi" w:cstheme="minorHAnsi"/>
          <w:szCs w:val="20"/>
        </w:rPr>
        <w:t xml:space="preserve"> en la regulación de la financiación participativa por obedecer a estructuras distintas. De ahí que haya que evitar el término “inversor” para las operaciones de </w:t>
      </w:r>
      <w:r w:rsidRPr="001F4317">
        <w:rPr>
          <w:rFonts w:asciiTheme="minorHAnsi" w:hAnsiTheme="minorHAnsi" w:cstheme="minorHAnsi"/>
          <w:i/>
          <w:iCs/>
          <w:szCs w:val="20"/>
        </w:rPr>
        <w:t>crow</w:t>
      </w:r>
      <w:r w:rsidR="00CD6099" w:rsidRPr="001F4317">
        <w:rPr>
          <w:rFonts w:asciiTheme="minorHAnsi" w:hAnsiTheme="minorHAnsi" w:cstheme="minorHAnsi"/>
          <w:i/>
          <w:iCs/>
          <w:szCs w:val="20"/>
        </w:rPr>
        <w:t>d</w:t>
      </w:r>
      <w:r w:rsidRPr="001F4317">
        <w:rPr>
          <w:rFonts w:asciiTheme="minorHAnsi" w:hAnsiTheme="minorHAnsi" w:cstheme="minorHAnsi"/>
          <w:i/>
          <w:iCs/>
          <w:szCs w:val="20"/>
        </w:rPr>
        <w:t>lending</w:t>
      </w:r>
      <w:r w:rsidRPr="001F4317">
        <w:rPr>
          <w:rFonts w:asciiTheme="minorHAnsi" w:hAnsiTheme="minorHAnsi" w:cstheme="minorHAnsi"/>
          <w:szCs w:val="20"/>
        </w:rPr>
        <w:t xml:space="preserve"> y sustituirlo por “prestamista” toda vez que el riesgo es sustancialmente diferente.</w:t>
      </w:r>
    </w:p>
  </w:footnote>
  <w:footnote w:id="28">
    <w:p w14:paraId="0454FBE2" w14:textId="239DEB1E" w:rsidR="00343F79" w:rsidRPr="001F4317" w:rsidRDefault="00343F79"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bookmarkStart w:id="21" w:name="_Hlk172566613"/>
      <w:r w:rsidRPr="001F4317">
        <w:rPr>
          <w:rFonts w:asciiTheme="minorHAnsi" w:hAnsiTheme="minorHAnsi" w:cstheme="minorHAnsi"/>
          <w:smallCaps/>
          <w:szCs w:val="20"/>
        </w:rPr>
        <w:t>Sánchez Ruiz</w:t>
      </w:r>
      <w:r w:rsidRPr="001F4317">
        <w:rPr>
          <w:rFonts w:asciiTheme="minorHAnsi" w:hAnsiTheme="minorHAnsi" w:cstheme="minorHAnsi"/>
          <w:szCs w:val="20"/>
        </w:rPr>
        <w:t xml:space="preserve">, Mercedes, “Las normas de conducta de las plataformas de financiación participativa”, en </w:t>
      </w:r>
      <w:r w:rsidRPr="001F4317">
        <w:rPr>
          <w:rFonts w:asciiTheme="minorHAnsi" w:hAnsiTheme="minorHAnsi" w:cstheme="minorHAnsi"/>
          <w:smallCaps/>
          <w:szCs w:val="20"/>
        </w:rPr>
        <w:t xml:space="preserve">Lázaro Sánchez, </w:t>
      </w:r>
      <w:r w:rsidRPr="001F4317">
        <w:rPr>
          <w:rFonts w:asciiTheme="minorHAnsi" w:hAnsiTheme="minorHAnsi" w:cstheme="minorHAnsi"/>
          <w:szCs w:val="20"/>
        </w:rPr>
        <w:t>Emilio Jesús/</w:t>
      </w:r>
      <w:r w:rsidR="00675668" w:rsidRPr="001F4317">
        <w:rPr>
          <w:rFonts w:asciiTheme="minorHAnsi" w:hAnsiTheme="minorHAnsi" w:cstheme="minorHAnsi"/>
          <w:smallCaps/>
          <w:szCs w:val="20"/>
        </w:rPr>
        <w:t>D</w:t>
      </w:r>
      <w:r w:rsidRPr="001F4317">
        <w:rPr>
          <w:rFonts w:asciiTheme="minorHAnsi" w:hAnsiTheme="minorHAnsi" w:cstheme="minorHAnsi"/>
          <w:smallCaps/>
          <w:szCs w:val="20"/>
        </w:rPr>
        <w:t xml:space="preserve">e Vega García, </w:t>
      </w:r>
      <w:r w:rsidRPr="001F4317">
        <w:rPr>
          <w:rFonts w:asciiTheme="minorHAnsi" w:hAnsiTheme="minorHAnsi" w:cstheme="minorHAnsi"/>
          <w:szCs w:val="20"/>
        </w:rPr>
        <w:t xml:space="preserve">Fernando (dirs.), </w:t>
      </w:r>
      <w:r w:rsidRPr="001F4317">
        <w:rPr>
          <w:rFonts w:asciiTheme="minorHAnsi" w:hAnsiTheme="minorHAnsi" w:cstheme="minorHAnsi"/>
          <w:i/>
          <w:szCs w:val="20"/>
        </w:rPr>
        <w:t>Crowdfunding: cooperación colectiva al servicio de la financiación</w:t>
      </w:r>
      <w:r w:rsidRPr="001F4317">
        <w:rPr>
          <w:rFonts w:asciiTheme="minorHAnsi" w:hAnsiTheme="minorHAnsi" w:cstheme="minorHAnsi"/>
          <w:szCs w:val="20"/>
        </w:rPr>
        <w:t>, Thomson Reuters Aranzadi, Cizur Menor, 2018</w:t>
      </w:r>
      <w:bookmarkEnd w:id="21"/>
      <w:r w:rsidRPr="001F4317">
        <w:rPr>
          <w:rFonts w:asciiTheme="minorHAnsi" w:hAnsiTheme="minorHAnsi" w:cstheme="minorHAnsi"/>
          <w:szCs w:val="20"/>
        </w:rPr>
        <w:t>, pg. 320</w:t>
      </w:r>
      <w:bookmarkStart w:id="22" w:name="_Hlk172566634"/>
      <w:r w:rsidRPr="001F4317">
        <w:rPr>
          <w:rFonts w:asciiTheme="minorHAnsi" w:hAnsiTheme="minorHAnsi" w:cstheme="minorHAnsi"/>
          <w:szCs w:val="20"/>
        </w:rPr>
        <w:t xml:space="preserve"> y </w:t>
      </w:r>
      <w:r w:rsidRPr="001F4317">
        <w:rPr>
          <w:rFonts w:asciiTheme="minorHAnsi" w:hAnsiTheme="minorHAnsi" w:cstheme="minorHAnsi"/>
          <w:smallCaps/>
          <w:szCs w:val="20"/>
        </w:rPr>
        <w:t>Díez Soto,</w:t>
      </w:r>
      <w:r w:rsidRPr="001F4317">
        <w:rPr>
          <w:rFonts w:asciiTheme="minorHAnsi" w:hAnsiTheme="minorHAnsi" w:cstheme="minorHAnsi"/>
          <w:szCs w:val="20"/>
        </w:rPr>
        <w:t xml:space="preserve"> Carlos Manuel, “La incidencia del derecho de consumo en el </w:t>
      </w:r>
      <w:r w:rsidRPr="001F4317">
        <w:rPr>
          <w:rFonts w:asciiTheme="minorHAnsi" w:hAnsiTheme="minorHAnsi" w:cstheme="minorHAnsi"/>
          <w:i/>
          <w:szCs w:val="20"/>
        </w:rPr>
        <w:t>crowdfunding</w:t>
      </w:r>
      <w:r w:rsidRPr="001F4317">
        <w:rPr>
          <w:rFonts w:asciiTheme="minorHAnsi" w:hAnsiTheme="minorHAnsi" w:cstheme="minorHAnsi"/>
          <w:szCs w:val="20"/>
        </w:rPr>
        <w:t xml:space="preserve"> financiero”, </w:t>
      </w:r>
      <w:r w:rsidRPr="001F4317">
        <w:rPr>
          <w:rFonts w:asciiTheme="minorHAnsi" w:hAnsiTheme="minorHAnsi" w:cstheme="minorHAnsi"/>
          <w:i/>
          <w:szCs w:val="20"/>
        </w:rPr>
        <w:t xml:space="preserve">Cuadernos de Derecho </w:t>
      </w:r>
      <w:r w:rsidR="005A3911" w:rsidRPr="001F4317">
        <w:rPr>
          <w:rFonts w:asciiTheme="minorHAnsi" w:hAnsiTheme="minorHAnsi" w:cstheme="minorHAnsi"/>
          <w:i/>
          <w:szCs w:val="20"/>
        </w:rPr>
        <w:t>T</w:t>
      </w:r>
      <w:r w:rsidRPr="001F4317">
        <w:rPr>
          <w:rFonts w:asciiTheme="minorHAnsi" w:hAnsiTheme="minorHAnsi" w:cstheme="minorHAnsi"/>
          <w:i/>
          <w:szCs w:val="20"/>
        </w:rPr>
        <w:t>ransnacional</w:t>
      </w:r>
      <w:r w:rsidRPr="001F4317">
        <w:rPr>
          <w:rFonts w:asciiTheme="minorHAnsi" w:hAnsiTheme="minorHAnsi" w:cstheme="minorHAnsi"/>
          <w:szCs w:val="20"/>
        </w:rPr>
        <w:t>, vol. 15, núm. 1, 2023</w:t>
      </w:r>
      <w:bookmarkEnd w:id="22"/>
      <w:r w:rsidRPr="001F4317">
        <w:rPr>
          <w:rFonts w:asciiTheme="minorHAnsi" w:hAnsiTheme="minorHAnsi" w:cstheme="minorHAnsi"/>
          <w:szCs w:val="20"/>
        </w:rPr>
        <w:t>, pg. 316.</w:t>
      </w:r>
    </w:p>
  </w:footnote>
  <w:footnote w:id="29">
    <w:p w14:paraId="35273B7C" w14:textId="6BD80680" w:rsidR="00D6499D" w:rsidRPr="001F4317" w:rsidRDefault="00D6499D"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r w:rsidR="00F95A4C" w:rsidRPr="001F4317">
        <w:rPr>
          <w:rFonts w:asciiTheme="minorHAnsi" w:hAnsiTheme="minorHAnsi" w:cstheme="minorHAnsi"/>
          <w:smallCaps/>
          <w:szCs w:val="20"/>
        </w:rPr>
        <w:t>D</w:t>
      </w:r>
      <w:r w:rsidRPr="001F4317">
        <w:rPr>
          <w:rFonts w:asciiTheme="minorHAnsi" w:hAnsiTheme="minorHAnsi" w:cstheme="minorHAnsi"/>
          <w:smallCaps/>
          <w:szCs w:val="20"/>
        </w:rPr>
        <w:t>e Goñi Barbar</w:t>
      </w:r>
      <w:r w:rsidR="00D075D4" w:rsidRPr="001F4317">
        <w:rPr>
          <w:rFonts w:asciiTheme="minorHAnsi" w:hAnsiTheme="minorHAnsi" w:cstheme="minorHAnsi"/>
          <w:smallCaps/>
          <w:szCs w:val="20"/>
        </w:rPr>
        <w:t>i</w:t>
      </w:r>
      <w:r w:rsidRPr="001F4317">
        <w:rPr>
          <w:rFonts w:asciiTheme="minorHAnsi" w:hAnsiTheme="minorHAnsi" w:cstheme="minorHAnsi"/>
          <w:smallCaps/>
          <w:szCs w:val="20"/>
        </w:rPr>
        <w:t>n</w:t>
      </w:r>
      <w:r w:rsidRPr="001F4317">
        <w:rPr>
          <w:rFonts w:asciiTheme="minorHAnsi" w:hAnsiTheme="minorHAnsi" w:cstheme="minorHAnsi"/>
          <w:szCs w:val="20"/>
        </w:rPr>
        <w:t>, “Servicios de intermediación contractual prestados por plataformas digitales: la financiación participativa a través de préstamos”, pg. 3249.</w:t>
      </w:r>
    </w:p>
  </w:footnote>
  <w:footnote w:id="30">
    <w:p w14:paraId="56144402" w14:textId="7C7D4A1E" w:rsidR="00D70441" w:rsidRPr="001F4317" w:rsidRDefault="00D70441"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bookmarkStart w:id="23" w:name="_Hlk172566730"/>
      <w:r w:rsidRPr="001F4317">
        <w:rPr>
          <w:rFonts w:asciiTheme="minorHAnsi" w:hAnsiTheme="minorHAnsi" w:cstheme="minorHAnsi"/>
          <w:szCs w:val="20"/>
        </w:rPr>
        <w:t xml:space="preserve">Ángel </w:t>
      </w:r>
      <w:r w:rsidRPr="001F4317">
        <w:rPr>
          <w:rFonts w:asciiTheme="minorHAnsi" w:hAnsiTheme="minorHAnsi" w:cstheme="minorHAnsi"/>
          <w:smallCaps/>
          <w:szCs w:val="20"/>
        </w:rPr>
        <w:t>Carrasco Perera</w:t>
      </w:r>
      <w:r w:rsidRPr="001F4317">
        <w:rPr>
          <w:rFonts w:asciiTheme="minorHAnsi" w:hAnsiTheme="minorHAnsi" w:cstheme="minorHAnsi"/>
          <w:szCs w:val="20"/>
        </w:rPr>
        <w:t xml:space="preserve"> (“Proyecto de Ley de fomento de la financiación empresarial: la financiación participativa a través de plataformas de crowdfunding, </w:t>
      </w:r>
      <w:r w:rsidRPr="001F4317">
        <w:rPr>
          <w:rFonts w:asciiTheme="minorHAnsi" w:hAnsiTheme="minorHAnsi" w:cstheme="minorHAnsi"/>
          <w:i/>
          <w:iCs/>
          <w:szCs w:val="20"/>
        </w:rPr>
        <w:t xml:space="preserve">Revista CESCO de Derecho de </w:t>
      </w:r>
      <w:r w:rsidR="00092E29" w:rsidRPr="001F4317">
        <w:rPr>
          <w:rFonts w:asciiTheme="minorHAnsi" w:hAnsiTheme="minorHAnsi" w:cstheme="minorHAnsi"/>
          <w:i/>
          <w:iCs/>
          <w:szCs w:val="20"/>
        </w:rPr>
        <w:t>C</w:t>
      </w:r>
      <w:r w:rsidRPr="001F4317">
        <w:rPr>
          <w:rFonts w:asciiTheme="minorHAnsi" w:hAnsiTheme="minorHAnsi" w:cstheme="minorHAnsi"/>
          <w:i/>
          <w:iCs/>
          <w:szCs w:val="20"/>
        </w:rPr>
        <w:t>onsumo</w:t>
      </w:r>
      <w:r w:rsidRPr="001F4317">
        <w:rPr>
          <w:rFonts w:asciiTheme="minorHAnsi" w:hAnsiTheme="minorHAnsi" w:cstheme="minorHAnsi"/>
          <w:szCs w:val="20"/>
        </w:rPr>
        <w:t>, núm. 12, 2014</w:t>
      </w:r>
      <w:bookmarkEnd w:id="23"/>
      <w:r w:rsidRPr="001F4317">
        <w:rPr>
          <w:rFonts w:asciiTheme="minorHAnsi" w:hAnsiTheme="minorHAnsi" w:cstheme="minorHAnsi"/>
          <w:szCs w:val="20"/>
        </w:rPr>
        <w:t xml:space="preserve">, pg. 186) plantea que el inversor suscribe un contrato de mandato con la plataforma, mediante el que autoriza que gestione y celebre los contratos de préstamo que el inversor haya seleccionado. Sin embargo, resulta preferible la postura de </w:t>
      </w:r>
      <w:proofErr w:type="spellStart"/>
      <w:r w:rsidRPr="001F4317">
        <w:rPr>
          <w:rFonts w:asciiTheme="minorHAnsi" w:hAnsiTheme="minorHAnsi" w:cstheme="minorHAnsi"/>
          <w:smallCaps/>
          <w:szCs w:val="20"/>
        </w:rPr>
        <w:t>Cuena</w:t>
      </w:r>
      <w:proofErr w:type="spellEnd"/>
      <w:r w:rsidRPr="001F4317">
        <w:rPr>
          <w:rFonts w:asciiTheme="minorHAnsi" w:hAnsiTheme="minorHAnsi" w:cstheme="minorHAnsi"/>
          <w:smallCaps/>
          <w:szCs w:val="20"/>
        </w:rPr>
        <w:t xml:space="preserve"> Casas</w:t>
      </w:r>
      <w:r w:rsidRPr="001F4317">
        <w:rPr>
          <w:rFonts w:asciiTheme="minorHAnsi" w:hAnsiTheme="minorHAnsi" w:cstheme="minorHAnsi"/>
          <w:szCs w:val="20"/>
        </w:rPr>
        <w:t xml:space="preserve"> (“Régimen jurídico del crowdlending o préstamo en masa en el Derecho Español”, pgs. 442-443) que pone el foco en la labor mediadora de la plataforma y, por ello, califica la relación de mediación o corretaje, sin perjuicio de que se incorpore un contrato de mand</w:t>
      </w:r>
      <w:r w:rsidR="00503A01" w:rsidRPr="001F4317">
        <w:rPr>
          <w:rFonts w:asciiTheme="minorHAnsi" w:hAnsiTheme="minorHAnsi" w:cstheme="minorHAnsi"/>
          <w:szCs w:val="20"/>
        </w:rPr>
        <w:t>ato</w:t>
      </w:r>
      <w:r w:rsidRPr="001F4317">
        <w:rPr>
          <w:rFonts w:asciiTheme="minorHAnsi" w:hAnsiTheme="minorHAnsi" w:cstheme="minorHAnsi"/>
          <w:szCs w:val="20"/>
        </w:rPr>
        <w:t xml:space="preserve"> o un apoderamiento.</w:t>
      </w:r>
    </w:p>
  </w:footnote>
  <w:footnote w:id="31">
    <w:p w14:paraId="4C1D9038" w14:textId="6C14C09F" w:rsidR="005A3911" w:rsidRPr="001F4317" w:rsidRDefault="005A3911"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Por su parte, el Preámbulo de la Ley de fomento de la financiación empresarial señala que «las plataformas de financiación participativa ponen en contacto a promotores de proyectos que demandan fondos mediante la emisión de valores y participaciones sociales o mediante la solicitud de préstamos, con inversores u ofertantes de fondos que buscan en la inversión un rendimiento».</w:t>
      </w:r>
    </w:p>
  </w:footnote>
  <w:footnote w:id="32">
    <w:p w14:paraId="0BA7CC9E" w14:textId="6218FC50"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bookmarkStart w:id="24" w:name="_Hlk172566671"/>
      <w:r w:rsidRPr="001F4317">
        <w:rPr>
          <w:rFonts w:asciiTheme="minorHAnsi" w:hAnsiTheme="minorHAnsi" w:cstheme="minorHAnsi"/>
          <w:smallCaps/>
          <w:szCs w:val="20"/>
        </w:rPr>
        <w:t>Hernández Sainz</w:t>
      </w:r>
      <w:r w:rsidRPr="001F4317">
        <w:rPr>
          <w:rFonts w:asciiTheme="minorHAnsi" w:hAnsiTheme="minorHAnsi" w:cstheme="minorHAnsi"/>
          <w:szCs w:val="20"/>
        </w:rPr>
        <w:t xml:space="preserve">, </w:t>
      </w:r>
      <w:r w:rsidR="00F07083" w:rsidRPr="001F4317">
        <w:rPr>
          <w:rFonts w:asciiTheme="minorHAnsi" w:hAnsiTheme="minorHAnsi" w:cstheme="minorHAnsi"/>
          <w:szCs w:val="20"/>
        </w:rPr>
        <w:t xml:space="preserve">Esther, </w:t>
      </w:r>
      <w:r w:rsidRPr="001F4317">
        <w:rPr>
          <w:rFonts w:asciiTheme="minorHAnsi" w:hAnsiTheme="minorHAnsi" w:cstheme="minorHAnsi"/>
          <w:szCs w:val="20"/>
        </w:rPr>
        <w:t xml:space="preserve">“El </w:t>
      </w:r>
      <w:r w:rsidRPr="001F4317">
        <w:rPr>
          <w:rFonts w:asciiTheme="minorHAnsi" w:hAnsiTheme="minorHAnsi" w:cstheme="minorHAnsi"/>
          <w:i/>
          <w:szCs w:val="20"/>
        </w:rPr>
        <w:t>crowdfunding</w:t>
      </w:r>
      <w:r w:rsidRPr="001F4317">
        <w:rPr>
          <w:rFonts w:asciiTheme="minorHAnsi" w:hAnsiTheme="minorHAnsi" w:cstheme="minorHAnsi"/>
          <w:szCs w:val="20"/>
        </w:rPr>
        <w:t xml:space="preserve"> inmobiliario mediante contratos de cuentas en participación: una fórmula de inversión participativa ¿alegal o prohibida?”, </w:t>
      </w:r>
      <w:r w:rsidRPr="001F4317">
        <w:rPr>
          <w:rFonts w:asciiTheme="minorHAnsi" w:hAnsiTheme="minorHAnsi" w:cstheme="minorHAnsi"/>
          <w:i/>
          <w:iCs/>
          <w:szCs w:val="20"/>
        </w:rPr>
        <w:t xml:space="preserve">Revista de </w:t>
      </w:r>
      <w:r w:rsidR="003E22D1" w:rsidRPr="001F4317">
        <w:rPr>
          <w:rFonts w:asciiTheme="minorHAnsi" w:hAnsiTheme="minorHAnsi" w:cstheme="minorHAnsi"/>
          <w:i/>
          <w:iCs/>
          <w:szCs w:val="20"/>
        </w:rPr>
        <w:t>E</w:t>
      </w:r>
      <w:r w:rsidRPr="001F4317">
        <w:rPr>
          <w:rFonts w:asciiTheme="minorHAnsi" w:hAnsiTheme="minorHAnsi" w:cstheme="minorHAnsi"/>
          <w:i/>
          <w:iCs/>
          <w:szCs w:val="20"/>
        </w:rPr>
        <w:t xml:space="preserve">studios </w:t>
      </w:r>
      <w:r w:rsidR="003E22D1" w:rsidRPr="001F4317">
        <w:rPr>
          <w:rFonts w:asciiTheme="minorHAnsi" w:hAnsiTheme="minorHAnsi" w:cstheme="minorHAnsi"/>
          <w:i/>
          <w:iCs/>
          <w:szCs w:val="20"/>
        </w:rPr>
        <w:t>E</w:t>
      </w:r>
      <w:r w:rsidRPr="001F4317">
        <w:rPr>
          <w:rFonts w:asciiTheme="minorHAnsi" w:hAnsiTheme="minorHAnsi" w:cstheme="minorHAnsi"/>
          <w:i/>
          <w:iCs/>
          <w:szCs w:val="20"/>
        </w:rPr>
        <w:t>uropeos</w:t>
      </w:r>
      <w:r w:rsidRPr="001F4317">
        <w:rPr>
          <w:rFonts w:asciiTheme="minorHAnsi" w:hAnsiTheme="minorHAnsi" w:cstheme="minorHAnsi"/>
          <w:szCs w:val="20"/>
        </w:rPr>
        <w:t>, núm. 70, 2017</w:t>
      </w:r>
      <w:bookmarkEnd w:id="24"/>
      <w:r w:rsidRPr="001F4317">
        <w:rPr>
          <w:rFonts w:asciiTheme="minorHAnsi" w:hAnsiTheme="minorHAnsi" w:cstheme="minorHAnsi"/>
          <w:szCs w:val="20"/>
        </w:rPr>
        <w:t>, pgs. 138-139.</w:t>
      </w:r>
    </w:p>
  </w:footnote>
  <w:footnote w:id="33">
    <w:p w14:paraId="108C5C03" w14:textId="5C339739"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r w:rsidRPr="001F4317">
        <w:rPr>
          <w:rFonts w:asciiTheme="minorHAnsi" w:hAnsiTheme="minorHAnsi" w:cstheme="minorHAnsi"/>
          <w:smallCaps/>
          <w:szCs w:val="20"/>
        </w:rPr>
        <w:t xml:space="preserve">Hernández Sainz, </w:t>
      </w:r>
      <w:r w:rsidRPr="001F4317">
        <w:rPr>
          <w:rFonts w:asciiTheme="minorHAnsi" w:hAnsiTheme="minorHAnsi" w:cstheme="minorHAnsi"/>
          <w:szCs w:val="20"/>
        </w:rPr>
        <w:t xml:space="preserve">“El </w:t>
      </w:r>
      <w:r w:rsidRPr="001F4317">
        <w:rPr>
          <w:rFonts w:asciiTheme="minorHAnsi" w:hAnsiTheme="minorHAnsi" w:cstheme="minorHAnsi"/>
          <w:i/>
          <w:szCs w:val="20"/>
        </w:rPr>
        <w:t>crowdfunding</w:t>
      </w:r>
      <w:r w:rsidRPr="001F4317">
        <w:rPr>
          <w:rFonts w:asciiTheme="minorHAnsi" w:hAnsiTheme="minorHAnsi" w:cstheme="minorHAnsi"/>
          <w:szCs w:val="20"/>
        </w:rPr>
        <w:t xml:space="preserve"> inmobiliario mediante contratos de cuentas en participación: una fórmula de inversión participativa ¿alegal o prohibida?”, pg. 137.</w:t>
      </w:r>
    </w:p>
  </w:footnote>
  <w:footnote w:id="34">
    <w:p w14:paraId="4C048160" w14:textId="76F8A863"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CNMV, </w:t>
      </w:r>
      <w:r w:rsidRPr="001F4317">
        <w:rPr>
          <w:rFonts w:asciiTheme="minorHAnsi" w:hAnsiTheme="minorHAnsi" w:cstheme="minorHAnsi"/>
          <w:i/>
          <w:iCs/>
          <w:szCs w:val="20"/>
        </w:rPr>
        <w:t xml:space="preserve">Preguntas y Respuestas dirigidas a empresas </w:t>
      </w:r>
      <w:proofErr w:type="spellStart"/>
      <w:r w:rsidRPr="001F4317">
        <w:rPr>
          <w:rFonts w:asciiTheme="minorHAnsi" w:hAnsiTheme="minorHAnsi" w:cstheme="minorHAnsi"/>
          <w:i/>
          <w:iCs/>
          <w:szCs w:val="20"/>
        </w:rPr>
        <w:t>FinTech</w:t>
      </w:r>
      <w:proofErr w:type="spellEnd"/>
      <w:r w:rsidRPr="001F4317">
        <w:rPr>
          <w:rFonts w:asciiTheme="minorHAnsi" w:hAnsiTheme="minorHAnsi" w:cstheme="minorHAnsi"/>
          <w:i/>
          <w:iCs/>
          <w:szCs w:val="20"/>
        </w:rPr>
        <w:t xml:space="preserve"> sobre actividades y servicios que pueden tener relación con la CNMV</w:t>
      </w:r>
      <w:r w:rsidRPr="001F4317">
        <w:rPr>
          <w:rFonts w:asciiTheme="minorHAnsi" w:hAnsiTheme="minorHAnsi" w:cstheme="minorHAnsi"/>
          <w:szCs w:val="20"/>
        </w:rPr>
        <w:t xml:space="preserve">, </w:t>
      </w:r>
      <w:r w:rsidR="007747A5" w:rsidRPr="001F4317">
        <w:rPr>
          <w:rFonts w:asciiTheme="minorHAnsi" w:hAnsiTheme="minorHAnsi" w:cstheme="minorHAnsi"/>
          <w:szCs w:val="20"/>
        </w:rPr>
        <w:t xml:space="preserve">pregunta </w:t>
      </w:r>
      <w:r w:rsidR="004C7E00" w:rsidRPr="001F4317">
        <w:rPr>
          <w:rFonts w:asciiTheme="minorHAnsi" w:hAnsiTheme="minorHAnsi" w:cstheme="minorHAnsi"/>
          <w:szCs w:val="20"/>
        </w:rPr>
        <w:t>3.4</w:t>
      </w:r>
      <w:r w:rsidRPr="001F4317">
        <w:rPr>
          <w:rFonts w:asciiTheme="minorHAnsi" w:hAnsiTheme="minorHAnsi" w:cstheme="minorHAnsi"/>
          <w:szCs w:val="20"/>
        </w:rPr>
        <w:t xml:space="preserve">. Cuando así ocurra, esas entidades no podrán utilizar la denominación </w:t>
      </w:r>
      <w:r w:rsidR="004E0BFC" w:rsidRPr="001F4317">
        <w:rPr>
          <w:rFonts w:asciiTheme="minorHAnsi" w:hAnsiTheme="minorHAnsi" w:cstheme="minorHAnsi"/>
          <w:szCs w:val="20"/>
        </w:rPr>
        <w:t xml:space="preserve">de </w:t>
      </w:r>
      <w:r w:rsidRPr="001F4317">
        <w:rPr>
          <w:rFonts w:asciiTheme="minorHAnsi" w:hAnsiTheme="minorHAnsi" w:cstheme="minorHAnsi"/>
          <w:szCs w:val="20"/>
        </w:rPr>
        <w:t>“plataforma de financiación participativa”, ni la abreviatura “PFP” que quedan reservadas a las plataformas autorizadas y registradas por la CNMV.</w:t>
      </w:r>
    </w:p>
  </w:footnote>
  <w:footnote w:id="35">
    <w:p w14:paraId="0A9A7C3D" w14:textId="7D721253" w:rsidR="00F87F1C" w:rsidRPr="001F4317" w:rsidRDefault="00F87F1C"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Este carácter parcial se evidencia también en otras formas de financiación participativa carentes de regulación. Cfr. </w:t>
      </w:r>
      <w:bookmarkStart w:id="25" w:name="_Hlk172566682"/>
      <w:r w:rsidRPr="001F4317">
        <w:rPr>
          <w:rFonts w:asciiTheme="minorHAnsi" w:hAnsiTheme="minorHAnsi" w:cstheme="minorHAnsi"/>
          <w:smallCaps/>
          <w:szCs w:val="20"/>
        </w:rPr>
        <w:t>Rabasa Martínez</w:t>
      </w:r>
      <w:r w:rsidRPr="001F4317">
        <w:rPr>
          <w:rFonts w:asciiTheme="minorHAnsi" w:hAnsiTheme="minorHAnsi" w:cstheme="minorHAnsi"/>
          <w:szCs w:val="20"/>
        </w:rPr>
        <w:t xml:space="preserve">, Ignacio, “El uso de bitcoins en las plataformas de </w:t>
      </w:r>
      <w:r w:rsidRPr="001F4317">
        <w:rPr>
          <w:rFonts w:asciiTheme="minorHAnsi" w:hAnsiTheme="minorHAnsi" w:cstheme="minorHAnsi"/>
          <w:i/>
          <w:szCs w:val="20"/>
        </w:rPr>
        <w:t>crowdfunding</w:t>
      </w:r>
      <w:r w:rsidRPr="001F4317">
        <w:rPr>
          <w:rFonts w:asciiTheme="minorHAnsi" w:hAnsiTheme="minorHAnsi" w:cstheme="minorHAnsi"/>
          <w:szCs w:val="20"/>
        </w:rPr>
        <w:t xml:space="preserve">”, </w:t>
      </w:r>
      <w:r w:rsidRPr="001F4317">
        <w:rPr>
          <w:rFonts w:asciiTheme="minorHAnsi" w:hAnsiTheme="minorHAnsi" w:cstheme="minorHAnsi"/>
          <w:i/>
          <w:iCs/>
          <w:szCs w:val="20"/>
        </w:rPr>
        <w:t xml:space="preserve">Revista de </w:t>
      </w:r>
      <w:r w:rsidR="00092E29" w:rsidRPr="001F4317">
        <w:rPr>
          <w:rFonts w:asciiTheme="minorHAnsi" w:hAnsiTheme="minorHAnsi" w:cstheme="minorHAnsi"/>
          <w:i/>
          <w:iCs/>
          <w:szCs w:val="20"/>
        </w:rPr>
        <w:t>Estudios Europeos</w:t>
      </w:r>
      <w:r w:rsidRPr="001F4317">
        <w:rPr>
          <w:rFonts w:asciiTheme="minorHAnsi" w:hAnsiTheme="minorHAnsi" w:cstheme="minorHAnsi"/>
          <w:szCs w:val="20"/>
        </w:rPr>
        <w:t>, núm. 70, 2017</w:t>
      </w:r>
      <w:bookmarkEnd w:id="25"/>
      <w:r w:rsidRPr="001F4317">
        <w:rPr>
          <w:rFonts w:asciiTheme="minorHAnsi" w:hAnsiTheme="minorHAnsi" w:cstheme="minorHAnsi"/>
          <w:szCs w:val="20"/>
        </w:rPr>
        <w:t xml:space="preserve">, pg. 366 y </w:t>
      </w:r>
      <w:bookmarkStart w:id="26" w:name="_Hlk172566695"/>
      <w:r w:rsidRPr="001F4317">
        <w:rPr>
          <w:rFonts w:asciiTheme="minorHAnsi" w:hAnsiTheme="minorHAnsi" w:cstheme="minorHAnsi"/>
          <w:smallCaps/>
          <w:szCs w:val="20"/>
        </w:rPr>
        <w:t>Hernández Sainz</w:t>
      </w:r>
      <w:r w:rsidRPr="001F4317">
        <w:rPr>
          <w:rFonts w:asciiTheme="minorHAnsi" w:hAnsiTheme="minorHAnsi" w:cstheme="minorHAnsi"/>
          <w:szCs w:val="20"/>
        </w:rPr>
        <w:t>, Esther, “</w:t>
      </w:r>
      <w:r w:rsidRPr="001F4317">
        <w:rPr>
          <w:rFonts w:asciiTheme="minorHAnsi" w:hAnsiTheme="minorHAnsi" w:cstheme="minorHAnsi"/>
          <w:i/>
          <w:szCs w:val="20"/>
        </w:rPr>
        <w:t>Crowdfunding</w:t>
      </w:r>
      <w:r w:rsidRPr="001F4317">
        <w:rPr>
          <w:rFonts w:asciiTheme="minorHAnsi" w:hAnsiTheme="minorHAnsi" w:cstheme="minorHAnsi"/>
          <w:szCs w:val="20"/>
        </w:rPr>
        <w:t xml:space="preserve"> inmobiliario. Alternativas para su articulación jurídica y riesgos para el inversor”, en </w:t>
      </w:r>
      <w:r w:rsidRPr="001F4317">
        <w:rPr>
          <w:rFonts w:asciiTheme="minorHAnsi" w:hAnsiTheme="minorHAnsi" w:cstheme="minorHAnsi"/>
          <w:smallCaps/>
          <w:szCs w:val="20"/>
        </w:rPr>
        <w:t>Alonso Pérez,</w:t>
      </w:r>
      <w:r w:rsidRPr="001F4317">
        <w:rPr>
          <w:rFonts w:asciiTheme="minorHAnsi" w:hAnsiTheme="minorHAnsi" w:cstheme="minorHAnsi"/>
          <w:szCs w:val="20"/>
        </w:rPr>
        <w:t xml:space="preserve"> María Teresa (dir.), </w:t>
      </w:r>
      <w:r w:rsidRPr="001F4317">
        <w:rPr>
          <w:rFonts w:asciiTheme="minorHAnsi" w:hAnsiTheme="minorHAnsi" w:cstheme="minorHAnsi"/>
          <w:i/>
          <w:iCs/>
          <w:szCs w:val="20"/>
        </w:rPr>
        <w:t>Nuevas vías jurídicas de acceso a la vivienda</w:t>
      </w:r>
      <w:r w:rsidRPr="001F4317">
        <w:rPr>
          <w:rFonts w:asciiTheme="minorHAnsi" w:hAnsiTheme="minorHAnsi" w:cstheme="minorHAnsi"/>
          <w:szCs w:val="20"/>
        </w:rPr>
        <w:t>, Aranzadi Thomson Reuters, Cizur Menor, 2018</w:t>
      </w:r>
      <w:bookmarkEnd w:id="26"/>
      <w:r w:rsidRPr="001F4317">
        <w:rPr>
          <w:rFonts w:asciiTheme="minorHAnsi" w:hAnsiTheme="minorHAnsi" w:cstheme="minorHAnsi"/>
          <w:szCs w:val="20"/>
        </w:rPr>
        <w:t>, pg. 276.</w:t>
      </w:r>
    </w:p>
  </w:footnote>
  <w:footnote w:id="36">
    <w:p w14:paraId="48280476" w14:textId="10EF44B3" w:rsidR="00E538A9" w:rsidRPr="001F4317" w:rsidRDefault="00E538A9"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bookmarkStart w:id="27" w:name="_Hlk172566720"/>
      <w:r w:rsidRPr="001F4317">
        <w:rPr>
          <w:rFonts w:asciiTheme="minorHAnsi" w:hAnsiTheme="minorHAnsi" w:cstheme="minorHAnsi"/>
          <w:smallCaps/>
          <w:szCs w:val="20"/>
        </w:rPr>
        <w:t>Foz Giralt</w:t>
      </w:r>
      <w:r w:rsidRPr="001F4317">
        <w:rPr>
          <w:rFonts w:asciiTheme="minorHAnsi" w:hAnsiTheme="minorHAnsi" w:cstheme="minorHAnsi"/>
          <w:szCs w:val="20"/>
        </w:rPr>
        <w:t xml:space="preserve">, </w:t>
      </w:r>
      <w:r w:rsidR="00F07083" w:rsidRPr="001F4317">
        <w:rPr>
          <w:rFonts w:asciiTheme="minorHAnsi" w:hAnsiTheme="minorHAnsi" w:cstheme="minorHAnsi"/>
          <w:szCs w:val="20"/>
        </w:rPr>
        <w:t xml:space="preserve">Xavier, </w:t>
      </w:r>
      <w:r w:rsidRPr="001F4317">
        <w:rPr>
          <w:rFonts w:asciiTheme="minorHAnsi" w:hAnsiTheme="minorHAnsi" w:cstheme="minorHAnsi"/>
          <w:szCs w:val="20"/>
        </w:rPr>
        <w:t xml:space="preserve">“Criptomonedas o criptoactivos distribuidos nativos. Monedas estables y criptomonedas de curso legal. Tokens sobre derechos preexistentes: </w:t>
      </w:r>
      <w:proofErr w:type="spellStart"/>
      <w:r w:rsidRPr="001F4317">
        <w:rPr>
          <w:rFonts w:asciiTheme="minorHAnsi" w:hAnsiTheme="minorHAnsi" w:cstheme="minorHAnsi"/>
          <w:szCs w:val="20"/>
        </w:rPr>
        <w:t>ICOs</w:t>
      </w:r>
      <w:proofErr w:type="spellEnd"/>
      <w:r w:rsidRPr="001F4317">
        <w:rPr>
          <w:rFonts w:asciiTheme="minorHAnsi" w:hAnsiTheme="minorHAnsi" w:cstheme="minorHAnsi"/>
          <w:szCs w:val="20"/>
        </w:rPr>
        <w:t xml:space="preserve"> (</w:t>
      </w:r>
      <w:proofErr w:type="spellStart"/>
      <w:r w:rsidRPr="001F4317">
        <w:rPr>
          <w:rFonts w:asciiTheme="minorHAnsi" w:hAnsiTheme="minorHAnsi" w:cstheme="minorHAnsi"/>
          <w:i/>
          <w:iCs/>
          <w:szCs w:val="20"/>
        </w:rPr>
        <w:t>Initial</w:t>
      </w:r>
      <w:proofErr w:type="spellEnd"/>
      <w:r w:rsidRPr="001F4317">
        <w:rPr>
          <w:rFonts w:asciiTheme="minorHAnsi" w:hAnsiTheme="minorHAnsi" w:cstheme="minorHAnsi"/>
          <w:i/>
          <w:iCs/>
          <w:szCs w:val="20"/>
        </w:rPr>
        <w:t xml:space="preserve"> </w:t>
      </w:r>
      <w:proofErr w:type="spellStart"/>
      <w:r w:rsidRPr="001F4317">
        <w:rPr>
          <w:rFonts w:asciiTheme="minorHAnsi" w:hAnsiTheme="minorHAnsi" w:cstheme="minorHAnsi"/>
          <w:i/>
          <w:iCs/>
          <w:szCs w:val="20"/>
        </w:rPr>
        <w:t>Coin</w:t>
      </w:r>
      <w:proofErr w:type="spellEnd"/>
      <w:r w:rsidRPr="001F4317">
        <w:rPr>
          <w:rFonts w:asciiTheme="minorHAnsi" w:hAnsiTheme="minorHAnsi" w:cstheme="minorHAnsi"/>
          <w:i/>
          <w:iCs/>
          <w:szCs w:val="20"/>
        </w:rPr>
        <w:t xml:space="preserve"> </w:t>
      </w:r>
      <w:proofErr w:type="spellStart"/>
      <w:r w:rsidRPr="001F4317">
        <w:rPr>
          <w:rFonts w:asciiTheme="minorHAnsi" w:hAnsiTheme="minorHAnsi" w:cstheme="minorHAnsi"/>
          <w:i/>
          <w:iCs/>
          <w:szCs w:val="20"/>
        </w:rPr>
        <w:t>Offerings</w:t>
      </w:r>
      <w:proofErr w:type="spellEnd"/>
      <w:r w:rsidRPr="001F4317">
        <w:rPr>
          <w:rFonts w:asciiTheme="minorHAnsi" w:hAnsiTheme="minorHAnsi" w:cstheme="minorHAnsi"/>
          <w:szCs w:val="20"/>
        </w:rPr>
        <w:t xml:space="preserve">) y </w:t>
      </w:r>
      <w:proofErr w:type="spellStart"/>
      <w:r w:rsidRPr="001F4317">
        <w:rPr>
          <w:rFonts w:asciiTheme="minorHAnsi" w:hAnsiTheme="minorHAnsi" w:cstheme="minorHAnsi"/>
          <w:szCs w:val="20"/>
        </w:rPr>
        <w:t>STOs</w:t>
      </w:r>
      <w:proofErr w:type="spellEnd"/>
      <w:r w:rsidRPr="001F4317">
        <w:rPr>
          <w:rFonts w:asciiTheme="minorHAnsi" w:hAnsiTheme="minorHAnsi" w:cstheme="minorHAnsi"/>
          <w:szCs w:val="20"/>
        </w:rPr>
        <w:t xml:space="preserve"> (</w:t>
      </w:r>
      <w:r w:rsidRPr="001F4317">
        <w:rPr>
          <w:rFonts w:asciiTheme="minorHAnsi" w:hAnsiTheme="minorHAnsi" w:cstheme="minorHAnsi"/>
          <w:i/>
          <w:iCs/>
          <w:szCs w:val="20"/>
        </w:rPr>
        <w:t xml:space="preserve">Security Token </w:t>
      </w:r>
      <w:proofErr w:type="spellStart"/>
      <w:r w:rsidRPr="001F4317">
        <w:rPr>
          <w:rFonts w:asciiTheme="minorHAnsi" w:hAnsiTheme="minorHAnsi" w:cstheme="minorHAnsi"/>
          <w:i/>
          <w:iCs/>
          <w:szCs w:val="20"/>
        </w:rPr>
        <w:t>Offerings</w:t>
      </w:r>
      <w:proofErr w:type="spellEnd"/>
      <w:r w:rsidRPr="001F4317">
        <w:rPr>
          <w:rFonts w:asciiTheme="minorHAnsi" w:hAnsiTheme="minorHAnsi" w:cstheme="minorHAnsi"/>
          <w:szCs w:val="20"/>
        </w:rPr>
        <w:t xml:space="preserve">). </w:t>
      </w:r>
      <w:proofErr w:type="spellStart"/>
      <w:r w:rsidRPr="001F4317">
        <w:rPr>
          <w:rFonts w:asciiTheme="minorHAnsi" w:hAnsiTheme="minorHAnsi" w:cstheme="minorHAnsi"/>
          <w:szCs w:val="20"/>
        </w:rPr>
        <w:t>NFTs</w:t>
      </w:r>
      <w:proofErr w:type="spellEnd"/>
      <w:r w:rsidRPr="001F4317">
        <w:rPr>
          <w:rFonts w:asciiTheme="minorHAnsi" w:hAnsiTheme="minorHAnsi" w:cstheme="minorHAnsi"/>
          <w:szCs w:val="20"/>
        </w:rPr>
        <w:t xml:space="preserve"> (Non-Fungible Tokens)”, en </w:t>
      </w:r>
      <w:proofErr w:type="spellStart"/>
      <w:r w:rsidRPr="001F4317">
        <w:rPr>
          <w:rFonts w:asciiTheme="minorHAnsi" w:hAnsiTheme="minorHAnsi" w:cstheme="minorHAnsi"/>
          <w:smallCaps/>
          <w:szCs w:val="20"/>
        </w:rPr>
        <w:t>Cuena</w:t>
      </w:r>
      <w:proofErr w:type="spellEnd"/>
      <w:r w:rsidRPr="001F4317">
        <w:rPr>
          <w:rFonts w:asciiTheme="minorHAnsi" w:hAnsiTheme="minorHAnsi" w:cstheme="minorHAnsi"/>
          <w:smallCaps/>
          <w:szCs w:val="20"/>
        </w:rPr>
        <w:t xml:space="preserve"> Casas</w:t>
      </w:r>
      <w:r w:rsidR="00BA3E1D" w:rsidRPr="001F4317">
        <w:rPr>
          <w:rFonts w:asciiTheme="minorHAnsi" w:hAnsiTheme="minorHAnsi" w:cstheme="minorHAnsi"/>
          <w:smallCaps/>
          <w:szCs w:val="20"/>
        </w:rPr>
        <w:t>,</w:t>
      </w:r>
      <w:r w:rsidR="00BA3E1D" w:rsidRPr="001F4317">
        <w:rPr>
          <w:rFonts w:asciiTheme="minorHAnsi" w:hAnsiTheme="minorHAnsi" w:cstheme="minorHAnsi"/>
          <w:szCs w:val="20"/>
        </w:rPr>
        <w:t xml:space="preserve"> Matilde</w:t>
      </w:r>
      <w:r w:rsidRPr="001F4317">
        <w:rPr>
          <w:rFonts w:asciiTheme="minorHAnsi" w:hAnsiTheme="minorHAnsi" w:cstheme="minorHAnsi"/>
          <w:szCs w:val="20"/>
        </w:rPr>
        <w:t>/</w:t>
      </w:r>
      <w:r w:rsidRPr="001F4317">
        <w:rPr>
          <w:rFonts w:asciiTheme="minorHAnsi" w:hAnsiTheme="minorHAnsi" w:cstheme="minorHAnsi"/>
          <w:smallCaps/>
          <w:szCs w:val="20"/>
        </w:rPr>
        <w:t>Ibáñez Jiménez</w:t>
      </w:r>
      <w:r w:rsidR="00BA3E1D" w:rsidRPr="001F4317">
        <w:rPr>
          <w:rFonts w:asciiTheme="minorHAnsi" w:hAnsiTheme="minorHAnsi" w:cstheme="minorHAnsi"/>
          <w:smallCaps/>
          <w:szCs w:val="20"/>
        </w:rPr>
        <w:t xml:space="preserve">, </w:t>
      </w:r>
      <w:r w:rsidR="00BA3E1D" w:rsidRPr="001F4317">
        <w:rPr>
          <w:rFonts w:asciiTheme="minorHAnsi" w:hAnsiTheme="minorHAnsi" w:cstheme="minorHAnsi"/>
          <w:szCs w:val="20"/>
        </w:rPr>
        <w:t>Javier</w:t>
      </w:r>
      <w:r w:rsidRPr="001F4317">
        <w:rPr>
          <w:rFonts w:asciiTheme="minorHAnsi" w:hAnsiTheme="minorHAnsi" w:cstheme="minorHAnsi"/>
          <w:smallCaps/>
          <w:szCs w:val="20"/>
        </w:rPr>
        <w:t xml:space="preserve"> </w:t>
      </w:r>
      <w:r w:rsidRPr="001F4317">
        <w:rPr>
          <w:rFonts w:asciiTheme="minorHAnsi" w:hAnsiTheme="minorHAnsi" w:cstheme="minorHAnsi"/>
          <w:szCs w:val="20"/>
        </w:rPr>
        <w:t xml:space="preserve">(dirs.), </w:t>
      </w:r>
      <w:r w:rsidRPr="001F4317">
        <w:rPr>
          <w:rFonts w:asciiTheme="minorHAnsi" w:hAnsiTheme="minorHAnsi" w:cstheme="minorHAnsi"/>
          <w:i/>
          <w:iCs/>
          <w:szCs w:val="20"/>
        </w:rPr>
        <w:t>Perspectiva legal y económica del fenómeno Fintech</w:t>
      </w:r>
      <w:r w:rsidRPr="001F4317">
        <w:rPr>
          <w:rFonts w:asciiTheme="minorHAnsi" w:hAnsiTheme="minorHAnsi" w:cstheme="minorHAnsi"/>
          <w:szCs w:val="20"/>
        </w:rPr>
        <w:t xml:space="preserve">, Wolters </w:t>
      </w:r>
      <w:proofErr w:type="spellStart"/>
      <w:r w:rsidRPr="001F4317">
        <w:rPr>
          <w:rFonts w:asciiTheme="minorHAnsi" w:hAnsiTheme="minorHAnsi" w:cstheme="minorHAnsi"/>
          <w:szCs w:val="20"/>
        </w:rPr>
        <w:t>Kluwer</w:t>
      </w:r>
      <w:proofErr w:type="spellEnd"/>
      <w:r w:rsidRPr="001F4317">
        <w:rPr>
          <w:rFonts w:asciiTheme="minorHAnsi" w:hAnsiTheme="minorHAnsi" w:cstheme="minorHAnsi"/>
          <w:szCs w:val="20"/>
        </w:rPr>
        <w:t>, Madrid, 2021</w:t>
      </w:r>
      <w:bookmarkEnd w:id="27"/>
      <w:r w:rsidRPr="001F4317">
        <w:rPr>
          <w:rFonts w:asciiTheme="minorHAnsi" w:hAnsiTheme="minorHAnsi" w:cstheme="minorHAnsi"/>
          <w:szCs w:val="20"/>
        </w:rPr>
        <w:t>, pg. 159.</w:t>
      </w:r>
    </w:p>
  </w:footnote>
  <w:footnote w:id="37">
    <w:p w14:paraId="13A96886" w14:textId="48AD3076" w:rsidR="009D47A0" w:rsidRPr="001F4317" w:rsidRDefault="009D47A0"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r w:rsidR="004C1C12" w:rsidRPr="001F4317">
        <w:rPr>
          <w:rFonts w:asciiTheme="minorHAnsi" w:hAnsiTheme="minorHAnsi" w:cstheme="minorHAnsi"/>
          <w:szCs w:val="20"/>
        </w:rPr>
        <w:t>En torno a la perfección de los contratos electrónico</w:t>
      </w:r>
      <w:r w:rsidR="002C33C5" w:rsidRPr="001F4317">
        <w:rPr>
          <w:rFonts w:asciiTheme="minorHAnsi" w:hAnsiTheme="minorHAnsi" w:cstheme="minorHAnsi"/>
          <w:szCs w:val="20"/>
        </w:rPr>
        <w:t>s</w:t>
      </w:r>
      <w:r w:rsidR="004C1C12" w:rsidRPr="001F4317">
        <w:rPr>
          <w:rFonts w:asciiTheme="minorHAnsi" w:hAnsiTheme="minorHAnsi" w:cstheme="minorHAnsi"/>
          <w:szCs w:val="20"/>
        </w:rPr>
        <w:t>, c</w:t>
      </w:r>
      <w:r w:rsidRPr="001F4317">
        <w:rPr>
          <w:rFonts w:asciiTheme="minorHAnsi" w:hAnsiTheme="minorHAnsi" w:cstheme="minorHAnsi"/>
          <w:szCs w:val="20"/>
        </w:rPr>
        <w:t xml:space="preserve">fr. </w:t>
      </w:r>
      <w:bookmarkStart w:id="28" w:name="_Hlk172566757"/>
      <w:r w:rsidRPr="001F4317">
        <w:rPr>
          <w:rFonts w:asciiTheme="minorHAnsi" w:hAnsiTheme="minorHAnsi" w:cstheme="minorHAnsi"/>
          <w:smallCaps/>
          <w:szCs w:val="20"/>
        </w:rPr>
        <w:t xml:space="preserve">Berrocal </w:t>
      </w:r>
      <w:proofErr w:type="spellStart"/>
      <w:r w:rsidRPr="001F4317">
        <w:rPr>
          <w:rFonts w:asciiTheme="minorHAnsi" w:hAnsiTheme="minorHAnsi" w:cstheme="minorHAnsi"/>
          <w:smallCaps/>
          <w:szCs w:val="20"/>
        </w:rPr>
        <w:t>Lanzarot</w:t>
      </w:r>
      <w:proofErr w:type="spellEnd"/>
      <w:r w:rsidRPr="001F4317">
        <w:rPr>
          <w:rFonts w:asciiTheme="minorHAnsi" w:hAnsiTheme="minorHAnsi" w:cstheme="minorHAnsi"/>
          <w:szCs w:val="20"/>
        </w:rPr>
        <w:t xml:space="preserve">, </w:t>
      </w:r>
      <w:r w:rsidR="00F07083" w:rsidRPr="001F4317">
        <w:rPr>
          <w:rFonts w:asciiTheme="minorHAnsi" w:hAnsiTheme="minorHAnsi" w:cstheme="minorHAnsi"/>
          <w:szCs w:val="20"/>
        </w:rPr>
        <w:t xml:space="preserve">Ana Isabel, </w:t>
      </w:r>
      <w:r w:rsidRPr="001F4317">
        <w:rPr>
          <w:rFonts w:asciiTheme="minorHAnsi" w:hAnsiTheme="minorHAnsi" w:cstheme="minorHAnsi"/>
          <w:szCs w:val="20"/>
        </w:rPr>
        <w:t xml:space="preserve">“Perfección del contrato en la </w:t>
      </w:r>
      <w:r w:rsidR="004C1C12" w:rsidRPr="001F4317">
        <w:rPr>
          <w:rFonts w:asciiTheme="minorHAnsi" w:hAnsiTheme="minorHAnsi" w:cstheme="minorHAnsi"/>
          <w:szCs w:val="20"/>
        </w:rPr>
        <w:t>L</w:t>
      </w:r>
      <w:r w:rsidRPr="001F4317">
        <w:rPr>
          <w:rFonts w:asciiTheme="minorHAnsi" w:hAnsiTheme="minorHAnsi" w:cstheme="minorHAnsi"/>
          <w:szCs w:val="20"/>
        </w:rPr>
        <w:t xml:space="preserve">ey 34/2002, de 11 de julio de servicios de la sociedad de la información y de comercio electrónico: la unificación de criterios”, </w:t>
      </w:r>
      <w:r w:rsidRPr="001F4317">
        <w:rPr>
          <w:rFonts w:asciiTheme="minorHAnsi" w:hAnsiTheme="minorHAnsi" w:cstheme="minorHAnsi"/>
          <w:i/>
          <w:iCs/>
          <w:szCs w:val="20"/>
        </w:rPr>
        <w:t xml:space="preserve">Revista de la </w:t>
      </w:r>
      <w:r w:rsidR="002C33C5" w:rsidRPr="001F4317">
        <w:rPr>
          <w:rFonts w:asciiTheme="minorHAnsi" w:hAnsiTheme="minorHAnsi" w:cstheme="minorHAnsi"/>
          <w:i/>
          <w:iCs/>
          <w:szCs w:val="20"/>
        </w:rPr>
        <w:t>C</w:t>
      </w:r>
      <w:r w:rsidRPr="001F4317">
        <w:rPr>
          <w:rFonts w:asciiTheme="minorHAnsi" w:hAnsiTheme="minorHAnsi" w:cstheme="minorHAnsi"/>
          <w:i/>
          <w:iCs/>
          <w:szCs w:val="20"/>
        </w:rPr>
        <w:t xml:space="preserve">ontratación </w:t>
      </w:r>
      <w:r w:rsidR="002C33C5" w:rsidRPr="001F4317">
        <w:rPr>
          <w:rFonts w:asciiTheme="minorHAnsi" w:hAnsiTheme="minorHAnsi" w:cstheme="minorHAnsi"/>
          <w:i/>
          <w:iCs/>
          <w:szCs w:val="20"/>
        </w:rPr>
        <w:t>E</w:t>
      </w:r>
      <w:r w:rsidRPr="001F4317">
        <w:rPr>
          <w:rFonts w:asciiTheme="minorHAnsi" w:hAnsiTheme="minorHAnsi" w:cstheme="minorHAnsi"/>
          <w:i/>
          <w:iCs/>
          <w:szCs w:val="20"/>
        </w:rPr>
        <w:t>lectrónica</w:t>
      </w:r>
      <w:r w:rsidRPr="001F4317">
        <w:rPr>
          <w:rFonts w:asciiTheme="minorHAnsi" w:hAnsiTheme="minorHAnsi" w:cstheme="minorHAnsi"/>
          <w:szCs w:val="20"/>
        </w:rPr>
        <w:t>, núm. 100, 2009</w:t>
      </w:r>
      <w:bookmarkEnd w:id="28"/>
      <w:r w:rsidRPr="001F4317">
        <w:rPr>
          <w:rFonts w:asciiTheme="minorHAnsi" w:hAnsiTheme="minorHAnsi" w:cstheme="minorHAnsi"/>
          <w:szCs w:val="20"/>
        </w:rPr>
        <w:t xml:space="preserve">, pgs. </w:t>
      </w:r>
      <w:r w:rsidR="004C1C12" w:rsidRPr="001F4317">
        <w:rPr>
          <w:rFonts w:asciiTheme="minorHAnsi" w:hAnsiTheme="minorHAnsi" w:cstheme="minorHAnsi"/>
          <w:szCs w:val="20"/>
        </w:rPr>
        <w:t>45</w:t>
      </w:r>
      <w:r w:rsidRPr="001F4317">
        <w:rPr>
          <w:rFonts w:asciiTheme="minorHAnsi" w:hAnsiTheme="minorHAnsi" w:cstheme="minorHAnsi"/>
          <w:szCs w:val="20"/>
        </w:rPr>
        <w:t>-</w:t>
      </w:r>
      <w:r w:rsidR="002C33C5" w:rsidRPr="001F4317">
        <w:rPr>
          <w:rFonts w:asciiTheme="minorHAnsi" w:hAnsiTheme="minorHAnsi" w:cstheme="minorHAnsi"/>
          <w:szCs w:val="20"/>
        </w:rPr>
        <w:t>7</w:t>
      </w:r>
      <w:r w:rsidRPr="001F4317">
        <w:rPr>
          <w:rFonts w:asciiTheme="minorHAnsi" w:hAnsiTheme="minorHAnsi" w:cstheme="minorHAnsi"/>
          <w:szCs w:val="20"/>
        </w:rPr>
        <w:t>1.</w:t>
      </w:r>
    </w:p>
  </w:footnote>
  <w:footnote w:id="38">
    <w:p w14:paraId="049AA191" w14:textId="0C1EA2F4" w:rsidR="008A1CDD" w:rsidRPr="001F4317" w:rsidRDefault="008A1CDD"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r w:rsidR="007A7092" w:rsidRPr="001F4317">
        <w:rPr>
          <w:rFonts w:asciiTheme="minorHAnsi" w:hAnsiTheme="minorHAnsi" w:cstheme="minorHAnsi"/>
          <w:szCs w:val="20"/>
        </w:rPr>
        <w:t>Afirma</w:t>
      </w:r>
      <w:r w:rsidR="00A54458" w:rsidRPr="001F4317">
        <w:rPr>
          <w:rFonts w:asciiTheme="minorHAnsi" w:hAnsiTheme="minorHAnsi" w:cstheme="minorHAnsi"/>
          <w:szCs w:val="20"/>
        </w:rPr>
        <w:t xml:space="preserve"> l</w:t>
      </w:r>
      <w:r w:rsidRPr="001F4317">
        <w:rPr>
          <w:rFonts w:asciiTheme="minorHAnsi" w:hAnsiTheme="minorHAnsi" w:cstheme="minorHAnsi"/>
          <w:szCs w:val="20"/>
        </w:rPr>
        <w:t xml:space="preserve">a SAP de Sevilla de 17 de noviembre de 2011 [JUR 72603] </w:t>
      </w:r>
      <w:r w:rsidR="007A7092" w:rsidRPr="001F4317">
        <w:rPr>
          <w:rFonts w:asciiTheme="minorHAnsi" w:hAnsiTheme="minorHAnsi" w:cstheme="minorHAnsi"/>
          <w:szCs w:val="20"/>
        </w:rPr>
        <w:t xml:space="preserve">que </w:t>
      </w:r>
      <w:r w:rsidRPr="001F4317">
        <w:rPr>
          <w:rFonts w:asciiTheme="minorHAnsi" w:hAnsiTheme="minorHAnsi" w:cstheme="minorHAnsi"/>
          <w:szCs w:val="20"/>
        </w:rPr>
        <w:t>«es la aceptación, y no un posterior visto bueno o comunicación del registro del pedido por parte del oferente, la que perfecciona el contrato electrónico de compraventa concertado por las partes</w:t>
      </w:r>
      <w:r w:rsidR="00DB214B" w:rsidRPr="001F4317">
        <w:rPr>
          <w:rFonts w:asciiTheme="minorHAnsi" w:hAnsiTheme="minorHAnsi" w:cstheme="minorHAnsi"/>
          <w:szCs w:val="20"/>
        </w:rPr>
        <w:t>»</w:t>
      </w:r>
      <w:r w:rsidRPr="001F4317">
        <w:rPr>
          <w:rFonts w:asciiTheme="minorHAnsi" w:hAnsiTheme="minorHAnsi" w:cstheme="minorHAnsi"/>
          <w:szCs w:val="20"/>
        </w:rPr>
        <w:t>.</w:t>
      </w:r>
    </w:p>
  </w:footnote>
  <w:footnote w:id="39">
    <w:p w14:paraId="7F812088" w14:textId="1DF72ED7"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Además, deberá informar sobre el archiv</w:t>
      </w:r>
      <w:r w:rsidR="00497C90" w:rsidRPr="001F4317">
        <w:rPr>
          <w:rFonts w:asciiTheme="minorHAnsi" w:hAnsiTheme="minorHAnsi" w:cstheme="minorHAnsi"/>
          <w:szCs w:val="20"/>
        </w:rPr>
        <w:t>o</w:t>
      </w:r>
      <w:r w:rsidRPr="001F4317">
        <w:rPr>
          <w:rFonts w:asciiTheme="minorHAnsi" w:hAnsiTheme="minorHAnsi" w:cstheme="minorHAnsi"/>
          <w:szCs w:val="20"/>
        </w:rPr>
        <w:t xml:space="preserve"> el documento electrónico </w:t>
      </w:r>
      <w:r w:rsidR="00497C90" w:rsidRPr="001F4317">
        <w:rPr>
          <w:rFonts w:asciiTheme="minorHAnsi" w:hAnsiTheme="minorHAnsi" w:cstheme="minorHAnsi"/>
          <w:szCs w:val="20"/>
        </w:rPr>
        <w:t xml:space="preserve">en el </w:t>
      </w:r>
      <w:r w:rsidRPr="001F4317">
        <w:rPr>
          <w:rFonts w:asciiTheme="minorHAnsi" w:hAnsiTheme="minorHAnsi" w:cstheme="minorHAnsi"/>
          <w:szCs w:val="20"/>
        </w:rPr>
        <w:t xml:space="preserve">que </w:t>
      </w:r>
      <w:r w:rsidR="004E0BFC" w:rsidRPr="001F4317">
        <w:rPr>
          <w:rFonts w:asciiTheme="minorHAnsi" w:hAnsiTheme="minorHAnsi" w:cstheme="minorHAnsi"/>
          <w:szCs w:val="20"/>
        </w:rPr>
        <w:t xml:space="preserve">se </w:t>
      </w:r>
      <w:r w:rsidRPr="001F4317">
        <w:rPr>
          <w:rFonts w:asciiTheme="minorHAnsi" w:hAnsiTheme="minorHAnsi" w:cstheme="minorHAnsi"/>
          <w:szCs w:val="20"/>
        </w:rPr>
        <w:t>formali</w:t>
      </w:r>
      <w:r w:rsidR="00AC0015" w:rsidRPr="001F4317">
        <w:rPr>
          <w:rFonts w:asciiTheme="minorHAnsi" w:hAnsiTheme="minorHAnsi" w:cstheme="minorHAnsi"/>
          <w:szCs w:val="20"/>
        </w:rPr>
        <w:t>za</w:t>
      </w:r>
      <w:r w:rsidRPr="001F4317">
        <w:rPr>
          <w:rFonts w:asciiTheme="minorHAnsi" w:hAnsiTheme="minorHAnsi" w:cstheme="minorHAnsi"/>
          <w:szCs w:val="20"/>
        </w:rPr>
        <w:t xml:space="preserve"> el contrato y </w:t>
      </w:r>
      <w:r w:rsidR="00AC0015" w:rsidRPr="001F4317">
        <w:rPr>
          <w:rFonts w:asciiTheme="minorHAnsi" w:hAnsiTheme="minorHAnsi" w:cstheme="minorHAnsi"/>
          <w:szCs w:val="20"/>
        </w:rPr>
        <w:t>su</w:t>
      </w:r>
      <w:r w:rsidRPr="001F4317">
        <w:rPr>
          <w:rFonts w:asciiTheme="minorHAnsi" w:hAnsiTheme="minorHAnsi" w:cstheme="minorHAnsi"/>
          <w:szCs w:val="20"/>
        </w:rPr>
        <w:t xml:space="preserve"> accesib</w:t>
      </w:r>
      <w:r w:rsidR="00AC0015" w:rsidRPr="001F4317">
        <w:rPr>
          <w:rFonts w:asciiTheme="minorHAnsi" w:hAnsiTheme="minorHAnsi" w:cstheme="minorHAnsi"/>
          <w:szCs w:val="20"/>
        </w:rPr>
        <w:t>ilidad</w:t>
      </w:r>
      <w:r w:rsidRPr="001F4317">
        <w:rPr>
          <w:rFonts w:asciiTheme="minorHAnsi" w:hAnsiTheme="minorHAnsi" w:cstheme="minorHAnsi"/>
          <w:szCs w:val="20"/>
        </w:rPr>
        <w:t>, los medios técnicos para identificar y corregir errores en la introducción de datos y la lengua en que podrá formalizarse el contrato</w:t>
      </w:r>
      <w:r w:rsidR="00C72061" w:rsidRPr="001F4317">
        <w:rPr>
          <w:rFonts w:asciiTheme="minorHAnsi" w:hAnsiTheme="minorHAnsi" w:cstheme="minorHAnsi"/>
          <w:szCs w:val="20"/>
        </w:rPr>
        <w:t xml:space="preserve">. Cfr. </w:t>
      </w:r>
      <w:r w:rsidR="00C72061" w:rsidRPr="001F4317">
        <w:rPr>
          <w:rFonts w:asciiTheme="minorHAnsi" w:hAnsiTheme="minorHAnsi" w:cstheme="minorHAnsi"/>
          <w:smallCaps/>
          <w:szCs w:val="20"/>
        </w:rPr>
        <w:t>Rodríguez Martínez</w:t>
      </w:r>
      <w:r w:rsidR="00C72061" w:rsidRPr="001F4317">
        <w:rPr>
          <w:rFonts w:asciiTheme="minorHAnsi" w:hAnsiTheme="minorHAnsi" w:cstheme="minorHAnsi"/>
          <w:szCs w:val="20"/>
        </w:rPr>
        <w:t xml:space="preserve">, “Regulación de las </w:t>
      </w:r>
      <w:proofErr w:type="spellStart"/>
      <w:r w:rsidR="00C72061" w:rsidRPr="001F4317">
        <w:rPr>
          <w:rFonts w:asciiTheme="minorHAnsi" w:hAnsiTheme="minorHAnsi" w:cstheme="minorHAnsi"/>
          <w:szCs w:val="20"/>
        </w:rPr>
        <w:t>FinTech</w:t>
      </w:r>
      <w:proofErr w:type="spellEnd"/>
      <w:r w:rsidR="00C72061" w:rsidRPr="001F4317">
        <w:rPr>
          <w:rFonts w:asciiTheme="minorHAnsi" w:hAnsiTheme="minorHAnsi" w:cstheme="minorHAnsi"/>
          <w:szCs w:val="20"/>
        </w:rPr>
        <w:t>”, pg. 293-295.</w:t>
      </w:r>
    </w:p>
  </w:footnote>
  <w:footnote w:id="40">
    <w:p w14:paraId="591ECDD6" w14:textId="69D79191" w:rsidR="00110329" w:rsidRPr="001F4317" w:rsidRDefault="00110329"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Estas obligaciones tienen carácter imperativo cuando uno de los contratantes sea un consumidor. Conforme al artículo 29 LSSI, los contratos en los que intervenga un consumidor se presumirán celebrados en el lugar de su residencia habitual. Si este precepto parte de la salvaguarda de los consumidores, dicha presunción debería entenderse como </w:t>
      </w:r>
      <w:r w:rsidRPr="001F4317">
        <w:rPr>
          <w:rFonts w:asciiTheme="minorHAnsi" w:hAnsiTheme="minorHAnsi" w:cstheme="minorHAnsi"/>
          <w:i/>
          <w:iCs/>
          <w:szCs w:val="20"/>
        </w:rPr>
        <w:t>iuris et de iure</w:t>
      </w:r>
      <w:r w:rsidRPr="001F4317">
        <w:rPr>
          <w:rFonts w:asciiTheme="minorHAnsi" w:hAnsiTheme="minorHAnsi" w:cstheme="minorHAnsi"/>
          <w:szCs w:val="20"/>
        </w:rPr>
        <w:t xml:space="preserve">, aunque existen </w:t>
      </w:r>
      <w:r w:rsidR="00497C90" w:rsidRPr="001F4317">
        <w:rPr>
          <w:rFonts w:asciiTheme="minorHAnsi" w:hAnsiTheme="minorHAnsi" w:cstheme="minorHAnsi"/>
          <w:szCs w:val="20"/>
        </w:rPr>
        <w:t>opiniones</w:t>
      </w:r>
      <w:r w:rsidRPr="001F4317">
        <w:rPr>
          <w:rFonts w:asciiTheme="minorHAnsi" w:hAnsiTheme="minorHAnsi" w:cstheme="minorHAnsi"/>
          <w:szCs w:val="20"/>
        </w:rPr>
        <w:t xml:space="preserve"> divers</w:t>
      </w:r>
      <w:r w:rsidR="00497C90" w:rsidRPr="001F4317">
        <w:rPr>
          <w:rFonts w:asciiTheme="minorHAnsi" w:hAnsiTheme="minorHAnsi" w:cstheme="minorHAnsi"/>
          <w:szCs w:val="20"/>
        </w:rPr>
        <w:t>a</w:t>
      </w:r>
      <w:r w:rsidRPr="001F4317">
        <w:rPr>
          <w:rFonts w:asciiTheme="minorHAnsi" w:hAnsiTheme="minorHAnsi" w:cstheme="minorHAnsi"/>
          <w:szCs w:val="20"/>
        </w:rPr>
        <w:t xml:space="preserve">s. Cfr. </w:t>
      </w:r>
      <w:bookmarkStart w:id="29" w:name="_Hlk172566777"/>
      <w:r w:rsidRPr="001F4317">
        <w:rPr>
          <w:rFonts w:asciiTheme="minorHAnsi" w:hAnsiTheme="minorHAnsi" w:cstheme="minorHAnsi"/>
          <w:smallCaps/>
          <w:szCs w:val="20"/>
        </w:rPr>
        <w:t>Castellanos Ruiz</w:t>
      </w:r>
      <w:r w:rsidRPr="001F4317">
        <w:rPr>
          <w:rFonts w:asciiTheme="minorHAnsi" w:hAnsiTheme="minorHAnsi" w:cstheme="minorHAnsi"/>
          <w:szCs w:val="20"/>
        </w:rPr>
        <w:t xml:space="preserve">, </w:t>
      </w:r>
      <w:r w:rsidR="00F07083" w:rsidRPr="001F4317">
        <w:rPr>
          <w:rFonts w:asciiTheme="minorHAnsi" w:hAnsiTheme="minorHAnsi" w:cstheme="minorHAnsi"/>
          <w:szCs w:val="20"/>
        </w:rPr>
        <w:t xml:space="preserve">Esperanza, </w:t>
      </w:r>
      <w:r w:rsidRPr="001F4317">
        <w:rPr>
          <w:rFonts w:asciiTheme="minorHAnsi" w:hAnsiTheme="minorHAnsi" w:cstheme="minorHAnsi"/>
          <w:szCs w:val="20"/>
        </w:rPr>
        <w:t xml:space="preserve">“Las normas de Derecho internacional privado sobre consumidores en la Ley 34/2002 de Servicios de la Sociedad de la Información y de Comercio Electrónico”, </w:t>
      </w:r>
      <w:r w:rsidRPr="001F4317">
        <w:rPr>
          <w:rFonts w:asciiTheme="minorHAnsi" w:hAnsiTheme="minorHAnsi" w:cstheme="minorHAnsi"/>
          <w:i/>
          <w:iCs/>
          <w:szCs w:val="20"/>
        </w:rPr>
        <w:t xml:space="preserve">Cuadernos de Derecho </w:t>
      </w:r>
      <w:r w:rsidR="000C1DCC" w:rsidRPr="001F4317">
        <w:rPr>
          <w:rFonts w:asciiTheme="minorHAnsi" w:hAnsiTheme="minorHAnsi" w:cstheme="minorHAnsi"/>
          <w:i/>
          <w:iCs/>
          <w:szCs w:val="20"/>
        </w:rPr>
        <w:t>T</w:t>
      </w:r>
      <w:r w:rsidRPr="001F4317">
        <w:rPr>
          <w:rFonts w:asciiTheme="minorHAnsi" w:hAnsiTheme="minorHAnsi" w:cstheme="minorHAnsi"/>
          <w:i/>
          <w:iCs/>
          <w:szCs w:val="20"/>
        </w:rPr>
        <w:t>ransnacional</w:t>
      </w:r>
      <w:r w:rsidRPr="001F4317">
        <w:rPr>
          <w:rFonts w:asciiTheme="minorHAnsi" w:hAnsiTheme="minorHAnsi" w:cstheme="minorHAnsi"/>
          <w:szCs w:val="20"/>
        </w:rPr>
        <w:t>, vol. 1, núm. 2, 2009</w:t>
      </w:r>
      <w:bookmarkEnd w:id="29"/>
      <w:r w:rsidRPr="001F4317">
        <w:rPr>
          <w:rFonts w:asciiTheme="minorHAnsi" w:hAnsiTheme="minorHAnsi" w:cstheme="minorHAnsi"/>
          <w:szCs w:val="20"/>
        </w:rPr>
        <w:t>, pg. 155.</w:t>
      </w:r>
    </w:p>
  </w:footnote>
  <w:footnote w:id="41">
    <w:p w14:paraId="7CBA126C" w14:textId="63BE9EA5" w:rsidR="00257EEC" w:rsidRPr="001F4317" w:rsidRDefault="00257EEC"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El empleo de contratos aleatorios, la información del riesgo asumido por el inversor y la realización de test de idoneidad impedirán, en muchos casos, la impugnación por vicios en el consentimiento.</w:t>
      </w:r>
    </w:p>
  </w:footnote>
  <w:footnote w:id="42">
    <w:p w14:paraId="15F1CD50" w14:textId="773C259E"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80490E">
        <w:rPr>
          <w:rFonts w:asciiTheme="minorHAnsi" w:hAnsiTheme="minorHAnsi" w:cstheme="minorHAnsi"/>
          <w:szCs w:val="20"/>
          <w:lang w:val="en-AU"/>
        </w:rPr>
        <w:t xml:space="preserve"> </w:t>
      </w:r>
      <w:bookmarkStart w:id="30" w:name="_Hlk172566807"/>
      <w:r w:rsidRPr="0080490E">
        <w:rPr>
          <w:rFonts w:asciiTheme="minorHAnsi" w:hAnsiTheme="minorHAnsi" w:cstheme="minorHAnsi"/>
          <w:smallCaps/>
          <w:szCs w:val="20"/>
          <w:lang w:val="en-AU"/>
        </w:rPr>
        <w:t>Hernández Sainz</w:t>
      </w:r>
      <w:r w:rsidRPr="0080490E">
        <w:rPr>
          <w:rFonts w:asciiTheme="minorHAnsi" w:hAnsiTheme="minorHAnsi" w:cstheme="minorHAnsi"/>
          <w:szCs w:val="20"/>
          <w:lang w:val="en-AU"/>
        </w:rPr>
        <w:t xml:space="preserve">, </w:t>
      </w:r>
      <w:r w:rsidR="00F07083" w:rsidRPr="0080490E">
        <w:rPr>
          <w:rFonts w:asciiTheme="minorHAnsi" w:hAnsiTheme="minorHAnsi" w:cstheme="minorHAnsi"/>
          <w:szCs w:val="20"/>
          <w:lang w:val="en-AU"/>
        </w:rPr>
        <w:t xml:space="preserve">Esther, </w:t>
      </w:r>
      <w:r w:rsidRPr="0080490E">
        <w:rPr>
          <w:rFonts w:asciiTheme="minorHAnsi" w:hAnsiTheme="minorHAnsi" w:cstheme="minorHAnsi"/>
          <w:szCs w:val="20"/>
          <w:lang w:val="en-AU"/>
        </w:rPr>
        <w:t>“</w:t>
      </w:r>
      <w:r w:rsidRPr="0080490E">
        <w:rPr>
          <w:rFonts w:asciiTheme="minorHAnsi" w:hAnsiTheme="minorHAnsi" w:cstheme="minorHAnsi"/>
          <w:i/>
          <w:szCs w:val="20"/>
          <w:lang w:val="en-AU"/>
        </w:rPr>
        <w:t>Crowdfunding</w:t>
      </w:r>
      <w:r w:rsidRPr="0080490E">
        <w:rPr>
          <w:rFonts w:asciiTheme="minorHAnsi" w:hAnsiTheme="minorHAnsi" w:cstheme="minorHAnsi"/>
          <w:szCs w:val="20"/>
          <w:lang w:val="en-AU"/>
        </w:rPr>
        <w:t xml:space="preserve"> inmobiliario. </w:t>
      </w:r>
      <w:r w:rsidRPr="001F4317">
        <w:rPr>
          <w:rFonts w:asciiTheme="minorHAnsi" w:hAnsiTheme="minorHAnsi" w:cstheme="minorHAnsi"/>
          <w:szCs w:val="20"/>
        </w:rPr>
        <w:t xml:space="preserve">Alternativas para su articulación jurídica y riesgos para el inversor”, </w:t>
      </w:r>
      <w:bookmarkEnd w:id="30"/>
      <w:r w:rsidRPr="001F4317">
        <w:rPr>
          <w:rFonts w:asciiTheme="minorHAnsi" w:hAnsiTheme="minorHAnsi" w:cstheme="minorHAnsi"/>
          <w:szCs w:val="20"/>
        </w:rPr>
        <w:t>pg. 269.</w:t>
      </w:r>
      <w:r w:rsidR="00DE2B01" w:rsidRPr="001F4317">
        <w:rPr>
          <w:rFonts w:asciiTheme="minorHAnsi" w:hAnsiTheme="minorHAnsi" w:cstheme="minorHAnsi"/>
          <w:szCs w:val="20"/>
        </w:rPr>
        <w:t xml:space="preserve"> Cfr., también, </w:t>
      </w:r>
      <w:r w:rsidR="00DE2B01" w:rsidRPr="001F4317">
        <w:rPr>
          <w:rFonts w:asciiTheme="minorHAnsi" w:hAnsiTheme="minorHAnsi" w:cstheme="minorHAnsi"/>
          <w:smallCaps/>
          <w:szCs w:val="20"/>
        </w:rPr>
        <w:t xml:space="preserve">Clemente </w:t>
      </w:r>
      <w:proofErr w:type="spellStart"/>
      <w:r w:rsidR="00DE2B01" w:rsidRPr="001F4317">
        <w:rPr>
          <w:rFonts w:asciiTheme="minorHAnsi" w:hAnsiTheme="minorHAnsi" w:cstheme="minorHAnsi"/>
          <w:smallCaps/>
          <w:szCs w:val="20"/>
        </w:rPr>
        <w:t>Clemente</w:t>
      </w:r>
      <w:proofErr w:type="spellEnd"/>
      <w:r w:rsidR="00DE2B01" w:rsidRPr="001F4317">
        <w:rPr>
          <w:rFonts w:asciiTheme="minorHAnsi" w:hAnsiTheme="minorHAnsi" w:cstheme="minorHAnsi"/>
          <w:szCs w:val="20"/>
        </w:rPr>
        <w:t xml:space="preserve">, Vicente, “El contrato de cuenta en participación: renacimiento de una vieja institución”, </w:t>
      </w:r>
      <w:r w:rsidR="00DE2B01" w:rsidRPr="001F4317">
        <w:rPr>
          <w:rFonts w:asciiTheme="minorHAnsi" w:hAnsiTheme="minorHAnsi" w:cstheme="minorHAnsi"/>
          <w:i/>
          <w:iCs/>
          <w:szCs w:val="20"/>
        </w:rPr>
        <w:t>Revista Aranzadi Doctrinal</w:t>
      </w:r>
      <w:r w:rsidR="00DE2B01" w:rsidRPr="001F4317">
        <w:rPr>
          <w:rFonts w:asciiTheme="minorHAnsi" w:hAnsiTheme="minorHAnsi" w:cstheme="minorHAnsi"/>
          <w:szCs w:val="20"/>
        </w:rPr>
        <w:t>, núm. 9, 2011, pgs. 99-100.</w:t>
      </w:r>
    </w:p>
  </w:footnote>
  <w:footnote w:id="43">
    <w:p w14:paraId="41AB2463" w14:textId="15EF0E76" w:rsidR="00CF29C7" w:rsidRPr="001F4317" w:rsidRDefault="00CF29C7"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bookmarkStart w:id="31" w:name="_Hlk172566817"/>
      <w:r w:rsidRPr="001F4317">
        <w:rPr>
          <w:rFonts w:asciiTheme="minorHAnsi" w:hAnsiTheme="minorHAnsi" w:cstheme="minorHAnsi"/>
          <w:smallCaps/>
          <w:szCs w:val="20"/>
        </w:rPr>
        <w:t xml:space="preserve">Vicent </w:t>
      </w:r>
      <w:proofErr w:type="spellStart"/>
      <w:r w:rsidRPr="001F4317">
        <w:rPr>
          <w:rFonts w:asciiTheme="minorHAnsi" w:hAnsiTheme="minorHAnsi" w:cstheme="minorHAnsi"/>
          <w:smallCaps/>
          <w:szCs w:val="20"/>
        </w:rPr>
        <w:t>Chuliá</w:t>
      </w:r>
      <w:proofErr w:type="spellEnd"/>
      <w:r w:rsidRPr="001F4317">
        <w:rPr>
          <w:rFonts w:asciiTheme="minorHAnsi" w:hAnsiTheme="minorHAnsi" w:cstheme="minorHAnsi"/>
          <w:szCs w:val="20"/>
        </w:rPr>
        <w:t xml:space="preserve">, </w:t>
      </w:r>
      <w:r w:rsidR="00F07083" w:rsidRPr="001F4317">
        <w:rPr>
          <w:rFonts w:asciiTheme="minorHAnsi" w:hAnsiTheme="minorHAnsi" w:cstheme="minorHAnsi"/>
          <w:szCs w:val="20"/>
        </w:rPr>
        <w:t xml:space="preserve">Francisco, </w:t>
      </w:r>
      <w:r w:rsidRPr="001F4317">
        <w:rPr>
          <w:rFonts w:asciiTheme="minorHAnsi" w:hAnsiTheme="minorHAnsi" w:cstheme="minorHAnsi"/>
          <w:szCs w:val="20"/>
        </w:rPr>
        <w:t xml:space="preserve">“El contrato de cuentas en participación no es un contrato de sociedad”, </w:t>
      </w:r>
      <w:r w:rsidRPr="001F4317">
        <w:rPr>
          <w:rFonts w:asciiTheme="minorHAnsi" w:hAnsiTheme="minorHAnsi" w:cstheme="minorHAnsi"/>
          <w:i/>
          <w:iCs/>
          <w:szCs w:val="20"/>
        </w:rPr>
        <w:t>La Notaría</w:t>
      </w:r>
      <w:r w:rsidRPr="001F4317">
        <w:rPr>
          <w:rFonts w:asciiTheme="minorHAnsi" w:hAnsiTheme="minorHAnsi" w:cstheme="minorHAnsi"/>
          <w:szCs w:val="20"/>
        </w:rPr>
        <w:t>, núm. 2-3, 2016</w:t>
      </w:r>
      <w:bookmarkEnd w:id="31"/>
      <w:r w:rsidRPr="001F4317">
        <w:rPr>
          <w:rFonts w:asciiTheme="minorHAnsi" w:hAnsiTheme="minorHAnsi" w:cstheme="minorHAnsi"/>
          <w:szCs w:val="20"/>
        </w:rPr>
        <w:t>, pg. 51.</w:t>
      </w:r>
    </w:p>
  </w:footnote>
  <w:footnote w:id="44">
    <w:p w14:paraId="527D217F" w14:textId="3DE7BD0D"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bookmarkStart w:id="32" w:name="_Hlk172566832"/>
      <w:r w:rsidRPr="001F4317">
        <w:rPr>
          <w:rFonts w:asciiTheme="minorHAnsi" w:hAnsiTheme="minorHAnsi" w:cstheme="minorHAnsi"/>
          <w:smallCaps/>
          <w:szCs w:val="20"/>
        </w:rPr>
        <w:t>Galacho Abolafio</w:t>
      </w:r>
      <w:r w:rsidRPr="001F4317">
        <w:rPr>
          <w:rFonts w:asciiTheme="minorHAnsi" w:hAnsiTheme="minorHAnsi" w:cstheme="minorHAnsi"/>
          <w:szCs w:val="20"/>
        </w:rPr>
        <w:t xml:space="preserve">, </w:t>
      </w:r>
      <w:r w:rsidR="00F07083" w:rsidRPr="001F4317">
        <w:rPr>
          <w:rFonts w:asciiTheme="minorHAnsi" w:hAnsiTheme="minorHAnsi" w:cstheme="minorHAnsi"/>
          <w:szCs w:val="20"/>
        </w:rPr>
        <w:t xml:space="preserve">Antonio F., </w:t>
      </w:r>
      <w:r w:rsidRPr="001F4317">
        <w:rPr>
          <w:rFonts w:asciiTheme="minorHAnsi" w:hAnsiTheme="minorHAnsi" w:cstheme="minorHAnsi"/>
          <w:szCs w:val="20"/>
        </w:rPr>
        <w:t xml:space="preserve">“Comentario a la Sentencia del Tribunal Supremo de 29 de mayo del 2014”, </w:t>
      </w:r>
      <w:r w:rsidRPr="001F4317">
        <w:rPr>
          <w:rFonts w:asciiTheme="minorHAnsi" w:hAnsiTheme="minorHAnsi" w:cstheme="minorHAnsi"/>
          <w:i/>
          <w:iCs/>
          <w:szCs w:val="20"/>
        </w:rPr>
        <w:t xml:space="preserve">Cuadernos </w:t>
      </w:r>
      <w:proofErr w:type="spellStart"/>
      <w:r w:rsidRPr="001F4317">
        <w:rPr>
          <w:rFonts w:asciiTheme="minorHAnsi" w:hAnsiTheme="minorHAnsi" w:cstheme="minorHAnsi"/>
          <w:i/>
          <w:iCs/>
          <w:szCs w:val="20"/>
        </w:rPr>
        <w:t>Civitas</w:t>
      </w:r>
      <w:proofErr w:type="spellEnd"/>
      <w:r w:rsidRPr="001F4317">
        <w:rPr>
          <w:rFonts w:asciiTheme="minorHAnsi" w:hAnsiTheme="minorHAnsi" w:cstheme="minorHAnsi"/>
          <w:i/>
          <w:iCs/>
          <w:szCs w:val="20"/>
        </w:rPr>
        <w:t xml:space="preserve"> de Jurisprudencia Civil</w:t>
      </w:r>
      <w:r w:rsidRPr="001F4317">
        <w:rPr>
          <w:rFonts w:asciiTheme="minorHAnsi" w:hAnsiTheme="minorHAnsi" w:cstheme="minorHAnsi"/>
          <w:szCs w:val="20"/>
        </w:rPr>
        <w:t xml:space="preserve">, núm. 97, 2015, Documento Electrónico Aranzadi BIB 2015\333 </w:t>
      </w:r>
      <w:bookmarkEnd w:id="32"/>
      <w:r w:rsidRPr="001F4317">
        <w:rPr>
          <w:rFonts w:asciiTheme="minorHAnsi" w:hAnsiTheme="minorHAnsi" w:cstheme="minorHAnsi"/>
          <w:szCs w:val="20"/>
        </w:rPr>
        <w:t xml:space="preserve">pg. 2 y </w:t>
      </w:r>
      <w:r w:rsidRPr="001F4317">
        <w:rPr>
          <w:rFonts w:asciiTheme="minorHAnsi" w:hAnsiTheme="minorHAnsi" w:cstheme="minorHAnsi"/>
          <w:smallCaps/>
          <w:szCs w:val="20"/>
        </w:rPr>
        <w:t>Hernández Sainz</w:t>
      </w:r>
      <w:r w:rsidRPr="001F4317">
        <w:rPr>
          <w:rFonts w:asciiTheme="minorHAnsi" w:hAnsiTheme="minorHAnsi" w:cstheme="minorHAnsi"/>
          <w:szCs w:val="20"/>
        </w:rPr>
        <w:t>, “</w:t>
      </w:r>
      <w:r w:rsidRPr="001F4317">
        <w:rPr>
          <w:rFonts w:asciiTheme="minorHAnsi" w:hAnsiTheme="minorHAnsi" w:cstheme="minorHAnsi"/>
          <w:i/>
          <w:szCs w:val="20"/>
        </w:rPr>
        <w:t>Crowdfunding</w:t>
      </w:r>
      <w:r w:rsidRPr="001F4317">
        <w:rPr>
          <w:rFonts w:asciiTheme="minorHAnsi" w:hAnsiTheme="minorHAnsi" w:cstheme="minorHAnsi"/>
          <w:szCs w:val="20"/>
        </w:rPr>
        <w:t xml:space="preserve"> inmobiliario. Alternativas para su articulación jurídica y riesgos para el inversor”, pg. 269. En la jurisprudencia, la</w:t>
      </w:r>
      <w:r w:rsidR="00791781" w:rsidRPr="001F4317">
        <w:rPr>
          <w:rFonts w:asciiTheme="minorHAnsi" w:hAnsiTheme="minorHAnsi" w:cstheme="minorHAnsi"/>
          <w:szCs w:val="20"/>
        </w:rPr>
        <w:t>s</w:t>
      </w:r>
      <w:r w:rsidRPr="001F4317">
        <w:rPr>
          <w:rFonts w:asciiTheme="minorHAnsi" w:hAnsiTheme="minorHAnsi" w:cstheme="minorHAnsi"/>
          <w:szCs w:val="20"/>
        </w:rPr>
        <w:t xml:space="preserve"> S</w:t>
      </w:r>
      <w:r w:rsidR="00190A41" w:rsidRPr="001F4317">
        <w:rPr>
          <w:rFonts w:asciiTheme="minorHAnsi" w:hAnsiTheme="minorHAnsi" w:cstheme="minorHAnsi"/>
          <w:szCs w:val="20"/>
        </w:rPr>
        <w:t>S</w:t>
      </w:r>
      <w:r w:rsidRPr="001F4317">
        <w:rPr>
          <w:rFonts w:asciiTheme="minorHAnsi" w:hAnsiTheme="minorHAnsi" w:cstheme="minorHAnsi"/>
          <w:szCs w:val="20"/>
        </w:rPr>
        <w:t xml:space="preserve">TS de </w:t>
      </w:r>
      <w:r w:rsidR="00190A41" w:rsidRPr="001F4317">
        <w:rPr>
          <w:rFonts w:asciiTheme="minorHAnsi" w:hAnsiTheme="minorHAnsi" w:cstheme="minorHAnsi"/>
          <w:szCs w:val="20"/>
        </w:rPr>
        <w:t xml:space="preserve">22 de mayo de 1987 [RJ 3555] y </w:t>
      </w:r>
      <w:r w:rsidRPr="001F4317">
        <w:rPr>
          <w:rFonts w:asciiTheme="minorHAnsi" w:hAnsiTheme="minorHAnsi" w:cstheme="minorHAnsi"/>
          <w:szCs w:val="20"/>
        </w:rPr>
        <w:t xml:space="preserve">24 de septiembre de 1987 [RJ 6193] </w:t>
      </w:r>
      <w:r w:rsidR="00DE3FEB" w:rsidRPr="001F4317">
        <w:rPr>
          <w:rFonts w:asciiTheme="minorHAnsi" w:hAnsiTheme="minorHAnsi" w:cstheme="minorHAnsi"/>
          <w:szCs w:val="20"/>
        </w:rPr>
        <w:t xml:space="preserve">apuntan la misma conclusión </w:t>
      </w:r>
      <w:r w:rsidR="00190A41" w:rsidRPr="001F4317">
        <w:rPr>
          <w:rFonts w:asciiTheme="minorHAnsi" w:hAnsiTheme="minorHAnsi" w:cstheme="minorHAnsi"/>
          <w:szCs w:val="20"/>
        </w:rPr>
        <w:t>y</w:t>
      </w:r>
      <w:r w:rsidR="00DE3FEB" w:rsidRPr="001F4317">
        <w:rPr>
          <w:rFonts w:asciiTheme="minorHAnsi" w:hAnsiTheme="minorHAnsi" w:cstheme="minorHAnsi"/>
          <w:szCs w:val="20"/>
        </w:rPr>
        <w:t xml:space="preserve"> vacían de contenido el artículo 239 </w:t>
      </w:r>
      <w:proofErr w:type="spellStart"/>
      <w:r w:rsidR="00DE3FEB" w:rsidRPr="001F4317">
        <w:rPr>
          <w:rFonts w:asciiTheme="minorHAnsi" w:hAnsiTheme="minorHAnsi" w:cstheme="minorHAnsi"/>
          <w:szCs w:val="20"/>
        </w:rPr>
        <w:t>CCom</w:t>
      </w:r>
      <w:proofErr w:type="spellEnd"/>
      <w:r w:rsidRPr="001F4317">
        <w:rPr>
          <w:rFonts w:asciiTheme="minorHAnsi" w:hAnsiTheme="minorHAnsi" w:cstheme="minorHAnsi"/>
          <w:szCs w:val="20"/>
        </w:rPr>
        <w:t>.</w:t>
      </w:r>
    </w:p>
  </w:footnote>
  <w:footnote w:id="45">
    <w:p w14:paraId="799A4285" w14:textId="77777777"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r w:rsidRPr="001F4317">
        <w:rPr>
          <w:rFonts w:asciiTheme="minorHAnsi" w:hAnsiTheme="minorHAnsi" w:cstheme="minorHAnsi"/>
          <w:smallCaps/>
          <w:szCs w:val="20"/>
        </w:rPr>
        <w:t xml:space="preserve">Vicent </w:t>
      </w:r>
      <w:proofErr w:type="spellStart"/>
      <w:r w:rsidRPr="001F4317">
        <w:rPr>
          <w:rFonts w:asciiTheme="minorHAnsi" w:hAnsiTheme="minorHAnsi" w:cstheme="minorHAnsi"/>
          <w:smallCaps/>
          <w:szCs w:val="20"/>
        </w:rPr>
        <w:t>Chuliá</w:t>
      </w:r>
      <w:proofErr w:type="spellEnd"/>
      <w:r w:rsidRPr="001F4317">
        <w:rPr>
          <w:rFonts w:asciiTheme="minorHAnsi" w:hAnsiTheme="minorHAnsi" w:cstheme="minorHAnsi"/>
          <w:szCs w:val="20"/>
        </w:rPr>
        <w:t>, “El contrato de cuentas en participación no es un contrato de sociedad”, pg. 64.</w:t>
      </w:r>
    </w:p>
  </w:footnote>
  <w:footnote w:id="46">
    <w:p w14:paraId="2B9E385C" w14:textId="36125E26"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La STS de 13 de julio de 2011 [RJ 7378] concluye que </w:t>
      </w:r>
      <w:r w:rsidR="002D679A" w:rsidRPr="001F4317">
        <w:rPr>
          <w:rFonts w:asciiTheme="minorHAnsi" w:hAnsiTheme="minorHAnsi" w:cstheme="minorHAnsi"/>
          <w:szCs w:val="20"/>
        </w:rPr>
        <w:t xml:space="preserve">con el artículo 20 RDL 7/1996 </w:t>
      </w:r>
      <w:r w:rsidRPr="001F4317">
        <w:rPr>
          <w:rFonts w:asciiTheme="minorHAnsi" w:hAnsiTheme="minorHAnsi" w:cstheme="minorHAnsi"/>
          <w:szCs w:val="20"/>
        </w:rPr>
        <w:t>«no se altera la naturaleza jurídica de préstamo».</w:t>
      </w:r>
    </w:p>
  </w:footnote>
  <w:footnote w:id="47">
    <w:p w14:paraId="5187F90D" w14:textId="0A294994"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Aunque legislador incurre en una </w:t>
      </w:r>
      <w:r w:rsidR="00B36AE2" w:rsidRPr="001F4317">
        <w:rPr>
          <w:rFonts w:asciiTheme="minorHAnsi" w:hAnsiTheme="minorHAnsi" w:cstheme="minorHAnsi"/>
          <w:szCs w:val="20"/>
        </w:rPr>
        <w:t>polisemia</w:t>
      </w:r>
      <w:r w:rsidRPr="001F4317">
        <w:rPr>
          <w:rFonts w:asciiTheme="minorHAnsi" w:hAnsiTheme="minorHAnsi" w:cstheme="minorHAnsi"/>
          <w:szCs w:val="20"/>
        </w:rPr>
        <w:t xml:space="preserve"> al calificar este interés como </w:t>
      </w:r>
      <w:r w:rsidR="000044AA" w:rsidRPr="001F4317">
        <w:rPr>
          <w:rFonts w:asciiTheme="minorHAnsi" w:hAnsiTheme="minorHAnsi" w:cstheme="minorHAnsi"/>
          <w:szCs w:val="20"/>
        </w:rPr>
        <w:t>«</w:t>
      </w:r>
      <w:r w:rsidRPr="001F4317">
        <w:rPr>
          <w:rFonts w:asciiTheme="minorHAnsi" w:hAnsiTheme="minorHAnsi" w:cstheme="minorHAnsi"/>
          <w:szCs w:val="20"/>
        </w:rPr>
        <w:t>fijo</w:t>
      </w:r>
      <w:r w:rsidR="000044AA" w:rsidRPr="001F4317">
        <w:rPr>
          <w:rFonts w:asciiTheme="minorHAnsi" w:hAnsiTheme="minorHAnsi" w:cstheme="minorHAnsi"/>
          <w:szCs w:val="20"/>
        </w:rPr>
        <w:t>»</w:t>
      </w:r>
      <w:r w:rsidRPr="001F4317">
        <w:rPr>
          <w:rFonts w:asciiTheme="minorHAnsi" w:hAnsiTheme="minorHAnsi" w:cstheme="minorHAnsi"/>
          <w:szCs w:val="20"/>
        </w:rPr>
        <w:t xml:space="preserve">, su propósito </w:t>
      </w:r>
      <w:r w:rsidR="000044AA" w:rsidRPr="001F4317">
        <w:rPr>
          <w:rFonts w:asciiTheme="minorHAnsi" w:hAnsiTheme="minorHAnsi" w:cstheme="minorHAnsi"/>
          <w:szCs w:val="20"/>
        </w:rPr>
        <w:t>es</w:t>
      </w:r>
      <w:r w:rsidRPr="001F4317">
        <w:rPr>
          <w:rFonts w:asciiTheme="minorHAnsi" w:hAnsiTheme="minorHAnsi" w:cstheme="minorHAnsi"/>
          <w:szCs w:val="20"/>
        </w:rPr>
        <w:t xml:space="preserve"> señalar que puede pactarse una retribución del prestamista al margen de la evolución de la actividad del prestatario. Por ello, dicha retribución puede pactarse a través de un interés fijo o uno variable conforme a un índice de referencia.</w:t>
      </w:r>
    </w:p>
  </w:footnote>
  <w:footnote w:id="48">
    <w:p w14:paraId="62CECC12" w14:textId="622038B7"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bookmarkStart w:id="33" w:name="_Hlk172566881"/>
      <w:r w:rsidRPr="001F4317">
        <w:rPr>
          <w:rFonts w:asciiTheme="minorHAnsi" w:hAnsiTheme="minorHAnsi" w:cstheme="minorHAnsi"/>
          <w:smallCaps/>
          <w:szCs w:val="20"/>
        </w:rPr>
        <w:t>Colino Mediavilla</w:t>
      </w:r>
      <w:r w:rsidR="002A0D90" w:rsidRPr="001F4317">
        <w:rPr>
          <w:rFonts w:asciiTheme="minorHAnsi" w:hAnsiTheme="minorHAnsi" w:cstheme="minorHAnsi"/>
          <w:smallCaps/>
          <w:szCs w:val="20"/>
        </w:rPr>
        <w:t>,</w:t>
      </w:r>
      <w:r w:rsidR="00F07083" w:rsidRPr="001F4317">
        <w:rPr>
          <w:rFonts w:asciiTheme="minorHAnsi" w:hAnsiTheme="minorHAnsi" w:cstheme="minorHAnsi"/>
          <w:szCs w:val="20"/>
        </w:rPr>
        <w:t xml:space="preserve"> José Luis</w:t>
      </w:r>
      <w:r w:rsidRPr="001F4317">
        <w:rPr>
          <w:rFonts w:asciiTheme="minorHAnsi" w:hAnsiTheme="minorHAnsi" w:cstheme="minorHAnsi"/>
          <w:szCs w:val="20"/>
        </w:rPr>
        <w:t>/</w:t>
      </w:r>
      <w:r w:rsidRPr="001F4317">
        <w:rPr>
          <w:rFonts w:asciiTheme="minorHAnsi" w:hAnsiTheme="minorHAnsi" w:cstheme="minorHAnsi"/>
          <w:smallCaps/>
          <w:szCs w:val="20"/>
        </w:rPr>
        <w:t>Hernán Carrillo</w:t>
      </w:r>
      <w:r w:rsidRPr="001F4317">
        <w:rPr>
          <w:rFonts w:asciiTheme="minorHAnsi" w:hAnsiTheme="minorHAnsi" w:cstheme="minorHAnsi"/>
          <w:szCs w:val="20"/>
        </w:rPr>
        <w:t xml:space="preserve">, </w:t>
      </w:r>
      <w:r w:rsidR="00F07083" w:rsidRPr="001F4317">
        <w:rPr>
          <w:rFonts w:asciiTheme="minorHAnsi" w:hAnsiTheme="minorHAnsi" w:cstheme="minorHAnsi"/>
          <w:szCs w:val="20"/>
        </w:rPr>
        <w:t xml:space="preserve">Víctor, </w:t>
      </w:r>
      <w:r w:rsidRPr="001F4317">
        <w:rPr>
          <w:rFonts w:asciiTheme="minorHAnsi" w:hAnsiTheme="minorHAnsi" w:cstheme="minorHAnsi"/>
          <w:szCs w:val="20"/>
        </w:rPr>
        <w:t xml:space="preserve">“Créditos y préstamos participativos”, en </w:t>
      </w:r>
      <w:proofErr w:type="spellStart"/>
      <w:r w:rsidRPr="001F4317">
        <w:rPr>
          <w:rFonts w:asciiTheme="minorHAnsi" w:hAnsiTheme="minorHAnsi" w:cstheme="minorHAnsi"/>
          <w:smallCaps/>
          <w:szCs w:val="20"/>
        </w:rPr>
        <w:t>Yzquierdo</w:t>
      </w:r>
      <w:proofErr w:type="spellEnd"/>
      <w:r w:rsidRPr="001F4317">
        <w:rPr>
          <w:rFonts w:asciiTheme="minorHAnsi" w:hAnsiTheme="minorHAnsi" w:cstheme="minorHAnsi"/>
          <w:smallCaps/>
          <w:szCs w:val="20"/>
        </w:rPr>
        <w:t xml:space="preserve"> </w:t>
      </w:r>
      <w:proofErr w:type="spellStart"/>
      <w:r w:rsidRPr="001F4317">
        <w:rPr>
          <w:rFonts w:asciiTheme="minorHAnsi" w:hAnsiTheme="minorHAnsi" w:cstheme="minorHAnsi"/>
          <w:smallCaps/>
          <w:szCs w:val="20"/>
        </w:rPr>
        <w:t>Tolsada</w:t>
      </w:r>
      <w:proofErr w:type="spellEnd"/>
      <w:r w:rsidR="00F07083" w:rsidRPr="001F4317">
        <w:rPr>
          <w:rFonts w:asciiTheme="minorHAnsi" w:hAnsiTheme="minorHAnsi" w:cstheme="minorHAnsi"/>
          <w:smallCaps/>
          <w:szCs w:val="20"/>
        </w:rPr>
        <w:t>,</w:t>
      </w:r>
      <w:r w:rsidRPr="001F4317">
        <w:rPr>
          <w:rFonts w:asciiTheme="minorHAnsi" w:hAnsiTheme="minorHAnsi" w:cstheme="minorHAnsi"/>
          <w:szCs w:val="20"/>
        </w:rPr>
        <w:t xml:space="preserve"> </w:t>
      </w:r>
      <w:r w:rsidR="00F07083" w:rsidRPr="001F4317">
        <w:rPr>
          <w:rFonts w:asciiTheme="minorHAnsi" w:hAnsiTheme="minorHAnsi" w:cstheme="minorHAnsi"/>
          <w:szCs w:val="20"/>
        </w:rPr>
        <w:t xml:space="preserve">Mariano </w:t>
      </w:r>
      <w:r w:rsidRPr="001F4317">
        <w:rPr>
          <w:rFonts w:asciiTheme="minorHAnsi" w:hAnsiTheme="minorHAnsi" w:cstheme="minorHAnsi"/>
          <w:szCs w:val="20"/>
        </w:rPr>
        <w:t xml:space="preserve">(dir.), </w:t>
      </w:r>
      <w:r w:rsidRPr="001F4317">
        <w:rPr>
          <w:rFonts w:asciiTheme="minorHAnsi" w:hAnsiTheme="minorHAnsi" w:cstheme="minorHAnsi"/>
          <w:i/>
          <w:szCs w:val="20"/>
        </w:rPr>
        <w:t>Contratos</w:t>
      </w:r>
      <w:r w:rsidRPr="001F4317">
        <w:rPr>
          <w:rFonts w:asciiTheme="minorHAnsi" w:hAnsiTheme="minorHAnsi" w:cstheme="minorHAnsi"/>
          <w:szCs w:val="20"/>
        </w:rPr>
        <w:t>, tomo IX, Aranzadi Thomson Reuters, Cizur Menor, 2014</w:t>
      </w:r>
      <w:bookmarkEnd w:id="33"/>
      <w:r w:rsidRPr="001F4317">
        <w:rPr>
          <w:rFonts w:asciiTheme="minorHAnsi" w:hAnsiTheme="minorHAnsi" w:cstheme="minorHAnsi"/>
          <w:szCs w:val="20"/>
        </w:rPr>
        <w:t>, pg</w:t>
      </w:r>
      <w:r w:rsidR="00DE19BB" w:rsidRPr="001F4317">
        <w:rPr>
          <w:rFonts w:asciiTheme="minorHAnsi" w:hAnsiTheme="minorHAnsi" w:cstheme="minorHAnsi"/>
          <w:szCs w:val="20"/>
        </w:rPr>
        <w:t>s</w:t>
      </w:r>
      <w:r w:rsidRPr="001F4317">
        <w:rPr>
          <w:rFonts w:asciiTheme="minorHAnsi" w:hAnsiTheme="minorHAnsi" w:cstheme="minorHAnsi"/>
          <w:szCs w:val="20"/>
        </w:rPr>
        <w:t>. 137-138.</w:t>
      </w:r>
    </w:p>
  </w:footnote>
  <w:footnote w:id="49">
    <w:p w14:paraId="70E3ACE6" w14:textId="723A5A7F" w:rsidR="001710CD" w:rsidRPr="001F4317" w:rsidRDefault="001710CD"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bookmarkStart w:id="34" w:name="_Hlk172566946"/>
      <w:proofErr w:type="spellStart"/>
      <w:r w:rsidRPr="001F4317">
        <w:rPr>
          <w:rFonts w:asciiTheme="minorHAnsi" w:hAnsiTheme="minorHAnsi" w:cstheme="minorHAnsi"/>
          <w:smallCaps/>
          <w:szCs w:val="20"/>
        </w:rPr>
        <w:t>Viñuelas</w:t>
      </w:r>
      <w:proofErr w:type="spellEnd"/>
      <w:r w:rsidRPr="001F4317">
        <w:rPr>
          <w:rFonts w:asciiTheme="minorHAnsi" w:hAnsiTheme="minorHAnsi" w:cstheme="minorHAnsi"/>
          <w:smallCaps/>
          <w:szCs w:val="20"/>
        </w:rPr>
        <w:t xml:space="preserve"> Sanz</w:t>
      </w:r>
      <w:r w:rsidRPr="001F4317">
        <w:rPr>
          <w:rFonts w:asciiTheme="minorHAnsi" w:hAnsiTheme="minorHAnsi" w:cstheme="minorHAnsi"/>
          <w:szCs w:val="20"/>
        </w:rPr>
        <w:t xml:space="preserve">, Margarita, “Los préstamos participativos”, </w:t>
      </w:r>
      <w:r w:rsidRPr="001F4317">
        <w:rPr>
          <w:rFonts w:asciiTheme="minorHAnsi" w:hAnsiTheme="minorHAnsi" w:cstheme="minorHAnsi"/>
          <w:i/>
          <w:iCs/>
          <w:szCs w:val="20"/>
        </w:rPr>
        <w:t>Revista de Derecho Mercantil</w:t>
      </w:r>
      <w:r w:rsidRPr="001F4317">
        <w:rPr>
          <w:rFonts w:asciiTheme="minorHAnsi" w:hAnsiTheme="minorHAnsi" w:cstheme="minorHAnsi"/>
          <w:szCs w:val="20"/>
        </w:rPr>
        <w:t>, núm. 315, 2017</w:t>
      </w:r>
      <w:bookmarkEnd w:id="34"/>
      <w:r w:rsidRPr="001F4317">
        <w:rPr>
          <w:rFonts w:asciiTheme="minorHAnsi" w:hAnsiTheme="minorHAnsi" w:cstheme="minorHAnsi"/>
          <w:szCs w:val="20"/>
        </w:rPr>
        <w:t xml:space="preserve">, pg. 317 y </w:t>
      </w:r>
      <w:bookmarkStart w:id="35" w:name="_Hlk172566958"/>
      <w:r w:rsidRPr="001F4317">
        <w:rPr>
          <w:rFonts w:asciiTheme="minorHAnsi" w:hAnsiTheme="minorHAnsi" w:cstheme="minorHAnsi"/>
          <w:smallCaps/>
          <w:szCs w:val="20"/>
        </w:rPr>
        <w:t>Vallés Mallén</w:t>
      </w:r>
      <w:r w:rsidRPr="001F4317">
        <w:rPr>
          <w:rFonts w:asciiTheme="minorHAnsi" w:hAnsiTheme="minorHAnsi" w:cstheme="minorHAnsi"/>
          <w:szCs w:val="20"/>
        </w:rPr>
        <w:t xml:space="preserve">, Belén, “El préstamo participativo”, </w:t>
      </w:r>
      <w:r w:rsidRPr="001F4317">
        <w:rPr>
          <w:rFonts w:asciiTheme="minorHAnsi" w:hAnsiTheme="minorHAnsi" w:cstheme="minorHAnsi"/>
          <w:i/>
          <w:iCs/>
          <w:szCs w:val="20"/>
        </w:rPr>
        <w:t xml:space="preserve">Revista </w:t>
      </w:r>
      <w:proofErr w:type="spellStart"/>
      <w:r w:rsidRPr="001F4317">
        <w:rPr>
          <w:rFonts w:asciiTheme="minorHAnsi" w:hAnsiTheme="minorHAnsi" w:cstheme="minorHAnsi"/>
          <w:i/>
          <w:iCs/>
          <w:szCs w:val="20"/>
        </w:rPr>
        <w:t>CEFLegal</w:t>
      </w:r>
      <w:proofErr w:type="spellEnd"/>
      <w:r w:rsidRPr="001F4317">
        <w:rPr>
          <w:rFonts w:asciiTheme="minorHAnsi" w:hAnsiTheme="minorHAnsi" w:cstheme="minorHAnsi"/>
          <w:szCs w:val="20"/>
        </w:rPr>
        <w:t>, núm. 222, 2019</w:t>
      </w:r>
      <w:bookmarkEnd w:id="35"/>
      <w:r w:rsidRPr="001F4317">
        <w:rPr>
          <w:rFonts w:asciiTheme="minorHAnsi" w:hAnsiTheme="minorHAnsi" w:cstheme="minorHAnsi"/>
          <w:szCs w:val="20"/>
        </w:rPr>
        <w:t>, pg. 22.</w:t>
      </w:r>
    </w:p>
  </w:footnote>
  <w:footnote w:id="50">
    <w:p w14:paraId="696CFA93" w14:textId="77777777" w:rsidR="001710CD" w:rsidRPr="001F4317" w:rsidRDefault="001710CD"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r w:rsidRPr="001F4317">
        <w:rPr>
          <w:rFonts w:asciiTheme="minorHAnsi" w:hAnsiTheme="minorHAnsi" w:cstheme="minorHAnsi"/>
          <w:smallCaps/>
          <w:szCs w:val="20"/>
        </w:rPr>
        <w:t>Colino Mediavilla</w:t>
      </w:r>
      <w:r w:rsidRPr="001F4317">
        <w:rPr>
          <w:rFonts w:asciiTheme="minorHAnsi" w:hAnsiTheme="minorHAnsi" w:cstheme="minorHAnsi"/>
          <w:szCs w:val="20"/>
        </w:rPr>
        <w:t>/</w:t>
      </w:r>
      <w:r w:rsidRPr="001F4317">
        <w:rPr>
          <w:rFonts w:asciiTheme="minorHAnsi" w:hAnsiTheme="minorHAnsi" w:cstheme="minorHAnsi"/>
          <w:smallCaps/>
          <w:szCs w:val="20"/>
        </w:rPr>
        <w:t>Hernán Carrillo</w:t>
      </w:r>
      <w:r w:rsidRPr="001F4317">
        <w:rPr>
          <w:rFonts w:asciiTheme="minorHAnsi" w:hAnsiTheme="minorHAnsi" w:cstheme="minorHAnsi"/>
          <w:szCs w:val="20"/>
        </w:rPr>
        <w:t xml:space="preserve">, “Créditos y préstamos participativos”, pg. 136 </w:t>
      </w:r>
      <w:bookmarkStart w:id="36" w:name="_Hlk172566974"/>
      <w:r w:rsidRPr="001F4317">
        <w:rPr>
          <w:rFonts w:asciiTheme="minorHAnsi" w:hAnsiTheme="minorHAnsi" w:cstheme="minorHAnsi"/>
          <w:szCs w:val="20"/>
        </w:rPr>
        <w:t xml:space="preserve">y </w:t>
      </w:r>
      <w:r w:rsidRPr="001F4317">
        <w:rPr>
          <w:rFonts w:asciiTheme="minorHAnsi" w:hAnsiTheme="minorHAnsi" w:cstheme="minorHAnsi"/>
          <w:smallCaps/>
          <w:szCs w:val="20"/>
        </w:rPr>
        <w:t>Álvarez Olalla</w:t>
      </w:r>
      <w:r w:rsidRPr="001F4317">
        <w:rPr>
          <w:rFonts w:asciiTheme="minorHAnsi" w:hAnsiTheme="minorHAnsi" w:cstheme="minorHAnsi"/>
          <w:szCs w:val="20"/>
        </w:rPr>
        <w:t xml:space="preserve">, Pilar, “Contratos de financiación”, en </w:t>
      </w:r>
      <w:proofErr w:type="spellStart"/>
      <w:r w:rsidRPr="001F4317">
        <w:rPr>
          <w:rFonts w:asciiTheme="minorHAnsi" w:hAnsiTheme="minorHAnsi" w:cstheme="minorHAnsi"/>
          <w:smallCaps/>
          <w:szCs w:val="20"/>
        </w:rPr>
        <w:t>Bercovitz</w:t>
      </w:r>
      <w:proofErr w:type="spellEnd"/>
      <w:r w:rsidRPr="001F4317">
        <w:rPr>
          <w:rFonts w:asciiTheme="minorHAnsi" w:hAnsiTheme="minorHAnsi" w:cstheme="minorHAnsi"/>
          <w:smallCaps/>
          <w:szCs w:val="20"/>
        </w:rPr>
        <w:t xml:space="preserve"> Rodríguez-Cano</w:t>
      </w:r>
      <w:r w:rsidRPr="001F4317">
        <w:rPr>
          <w:rFonts w:asciiTheme="minorHAnsi" w:hAnsiTheme="minorHAnsi" w:cstheme="minorHAnsi"/>
          <w:szCs w:val="20"/>
        </w:rPr>
        <w:t xml:space="preserve">, Rodrigo, </w:t>
      </w:r>
      <w:r w:rsidRPr="001F4317">
        <w:rPr>
          <w:rFonts w:asciiTheme="minorHAnsi" w:hAnsiTheme="minorHAnsi" w:cstheme="minorHAnsi"/>
          <w:i/>
          <w:iCs/>
          <w:szCs w:val="20"/>
        </w:rPr>
        <w:t>Tratado de contratos</w:t>
      </w:r>
      <w:r w:rsidRPr="001F4317">
        <w:rPr>
          <w:rFonts w:asciiTheme="minorHAnsi" w:hAnsiTheme="minorHAnsi" w:cstheme="minorHAnsi"/>
          <w:szCs w:val="20"/>
        </w:rPr>
        <w:t>, 3ª ed., Tirant lo Blanch, Valencia, 2020</w:t>
      </w:r>
      <w:bookmarkEnd w:id="36"/>
      <w:r w:rsidRPr="001F4317">
        <w:rPr>
          <w:rFonts w:asciiTheme="minorHAnsi" w:hAnsiTheme="minorHAnsi" w:cstheme="minorHAnsi"/>
          <w:szCs w:val="20"/>
        </w:rPr>
        <w:t>, pg. 5010.</w:t>
      </w:r>
    </w:p>
  </w:footnote>
  <w:footnote w:id="51">
    <w:p w14:paraId="7FBDB85C" w14:textId="5539CCC2"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r w:rsidR="008131BC" w:rsidRPr="001F4317">
        <w:rPr>
          <w:rFonts w:asciiTheme="minorHAnsi" w:hAnsiTheme="minorHAnsi" w:cstheme="minorHAnsi"/>
          <w:szCs w:val="20"/>
        </w:rPr>
        <w:t>A pesar de lo establecido en el artículo 20.c) RDL 7/1996 en torno a la condición subordinada del préstamo participativo, las sentencias del Juzgado de lo Mercantil de Madrid de 23 de marzo de 2011 [AC 2013\215] y de la Audiencia Provincial de Madrid de 24 de marzo de 2017 [JUR 2017\191973] rechaza</w:t>
      </w:r>
      <w:r w:rsidR="00E9437B" w:rsidRPr="001F4317">
        <w:rPr>
          <w:rFonts w:asciiTheme="minorHAnsi" w:hAnsiTheme="minorHAnsi" w:cstheme="minorHAnsi"/>
          <w:szCs w:val="20"/>
        </w:rPr>
        <w:t>ro</w:t>
      </w:r>
      <w:r w:rsidR="008131BC" w:rsidRPr="001F4317">
        <w:rPr>
          <w:rFonts w:asciiTheme="minorHAnsi" w:hAnsiTheme="minorHAnsi" w:cstheme="minorHAnsi"/>
          <w:szCs w:val="20"/>
        </w:rPr>
        <w:t xml:space="preserve">n esa calificación con base en la derogación tácita de aquel precepto por la Ley Concursal </w:t>
      </w:r>
      <w:r w:rsidR="007719BC" w:rsidRPr="001F4317">
        <w:rPr>
          <w:rFonts w:asciiTheme="minorHAnsi" w:hAnsiTheme="minorHAnsi" w:cstheme="minorHAnsi"/>
          <w:szCs w:val="20"/>
        </w:rPr>
        <w:t xml:space="preserve">de 2003 </w:t>
      </w:r>
      <w:r w:rsidR="008131BC" w:rsidRPr="001F4317">
        <w:rPr>
          <w:rFonts w:asciiTheme="minorHAnsi" w:hAnsiTheme="minorHAnsi" w:cstheme="minorHAnsi"/>
          <w:szCs w:val="20"/>
        </w:rPr>
        <w:t xml:space="preserve">que no incluía los préstamos participativos entre los créditos subordinados. El </w:t>
      </w:r>
      <w:r w:rsidR="007719BC" w:rsidRPr="001F4317">
        <w:rPr>
          <w:rFonts w:asciiTheme="minorHAnsi" w:hAnsiTheme="minorHAnsi" w:cstheme="minorHAnsi"/>
          <w:szCs w:val="20"/>
        </w:rPr>
        <w:t xml:space="preserve">artículo 281.2º del </w:t>
      </w:r>
      <w:r w:rsidR="00E9437B" w:rsidRPr="001F4317">
        <w:rPr>
          <w:rFonts w:asciiTheme="minorHAnsi" w:hAnsiTheme="minorHAnsi" w:cstheme="minorHAnsi"/>
          <w:szCs w:val="20"/>
        </w:rPr>
        <w:t xml:space="preserve">vigente </w:t>
      </w:r>
      <w:r w:rsidR="008131BC" w:rsidRPr="001F4317">
        <w:rPr>
          <w:rFonts w:asciiTheme="minorHAnsi" w:hAnsiTheme="minorHAnsi" w:cstheme="minorHAnsi"/>
          <w:szCs w:val="20"/>
        </w:rPr>
        <w:t>Texto Refundido de la</w:t>
      </w:r>
      <w:r w:rsidR="0016228A" w:rsidRPr="001F4317">
        <w:rPr>
          <w:rFonts w:asciiTheme="minorHAnsi" w:hAnsiTheme="minorHAnsi" w:cstheme="minorHAnsi"/>
          <w:szCs w:val="20"/>
        </w:rPr>
        <w:t xml:space="preserve"> Ley Concursal </w:t>
      </w:r>
      <w:r w:rsidR="008131BC" w:rsidRPr="001F4317">
        <w:rPr>
          <w:rFonts w:asciiTheme="minorHAnsi" w:hAnsiTheme="minorHAnsi" w:cstheme="minorHAnsi"/>
          <w:szCs w:val="20"/>
        </w:rPr>
        <w:t>zanja, aparentemente</w:t>
      </w:r>
      <w:r w:rsidR="007719BC" w:rsidRPr="001F4317">
        <w:rPr>
          <w:rFonts w:asciiTheme="minorHAnsi" w:hAnsiTheme="minorHAnsi" w:cstheme="minorHAnsi"/>
          <w:szCs w:val="20"/>
        </w:rPr>
        <w:t>,</w:t>
      </w:r>
      <w:r w:rsidR="008131BC" w:rsidRPr="001F4317">
        <w:rPr>
          <w:rFonts w:asciiTheme="minorHAnsi" w:hAnsiTheme="minorHAnsi" w:cstheme="minorHAnsi"/>
          <w:szCs w:val="20"/>
        </w:rPr>
        <w:t xml:space="preserve"> la cuestión al</w:t>
      </w:r>
      <w:r w:rsidR="0016228A" w:rsidRPr="001F4317">
        <w:rPr>
          <w:rFonts w:asciiTheme="minorHAnsi" w:hAnsiTheme="minorHAnsi" w:cstheme="minorHAnsi"/>
          <w:szCs w:val="20"/>
        </w:rPr>
        <w:t xml:space="preserve"> ref</w:t>
      </w:r>
      <w:r w:rsidR="008131BC" w:rsidRPr="001F4317">
        <w:rPr>
          <w:rFonts w:asciiTheme="minorHAnsi" w:hAnsiTheme="minorHAnsi" w:cstheme="minorHAnsi"/>
          <w:szCs w:val="20"/>
        </w:rPr>
        <w:t>erirse</w:t>
      </w:r>
      <w:r w:rsidR="0016228A" w:rsidRPr="001F4317">
        <w:rPr>
          <w:rFonts w:asciiTheme="minorHAnsi" w:hAnsiTheme="minorHAnsi" w:cstheme="minorHAnsi"/>
          <w:szCs w:val="20"/>
        </w:rPr>
        <w:t xml:space="preserve"> a los </w:t>
      </w:r>
      <w:r w:rsidR="008131BC" w:rsidRPr="001F4317">
        <w:rPr>
          <w:rFonts w:asciiTheme="minorHAnsi" w:hAnsiTheme="minorHAnsi" w:cstheme="minorHAnsi"/>
          <w:szCs w:val="20"/>
        </w:rPr>
        <w:t>créditos</w:t>
      </w:r>
      <w:r w:rsidR="0016228A" w:rsidRPr="001F4317">
        <w:rPr>
          <w:rFonts w:asciiTheme="minorHAnsi" w:hAnsiTheme="minorHAnsi" w:cstheme="minorHAnsi"/>
          <w:szCs w:val="20"/>
        </w:rPr>
        <w:t xml:space="preserve"> participativos </w:t>
      </w:r>
      <w:r w:rsidR="007719BC" w:rsidRPr="001F4317">
        <w:rPr>
          <w:rFonts w:asciiTheme="minorHAnsi" w:hAnsiTheme="minorHAnsi" w:cstheme="minorHAnsi"/>
          <w:szCs w:val="20"/>
        </w:rPr>
        <w:t>entre los de carácter subordinado</w:t>
      </w:r>
      <w:r w:rsidR="0016228A" w:rsidRPr="001F4317">
        <w:rPr>
          <w:rFonts w:asciiTheme="minorHAnsi" w:hAnsiTheme="minorHAnsi" w:cstheme="minorHAnsi"/>
          <w:szCs w:val="20"/>
        </w:rPr>
        <w:t xml:space="preserve">. Sin embargo, su técnica legislativa es confusa </w:t>
      </w:r>
      <w:r w:rsidR="00C04512" w:rsidRPr="001F4317">
        <w:rPr>
          <w:rFonts w:asciiTheme="minorHAnsi" w:hAnsiTheme="minorHAnsi" w:cstheme="minorHAnsi"/>
          <w:szCs w:val="20"/>
        </w:rPr>
        <w:t>porque</w:t>
      </w:r>
      <w:r w:rsidR="0016228A" w:rsidRPr="001F4317">
        <w:rPr>
          <w:rFonts w:asciiTheme="minorHAnsi" w:hAnsiTheme="minorHAnsi" w:cstheme="minorHAnsi"/>
          <w:szCs w:val="20"/>
        </w:rPr>
        <w:t xml:space="preserve"> vincula los préstamos participativos con los créditos que por pacto entre las partes </w:t>
      </w:r>
      <w:r w:rsidR="00744A96" w:rsidRPr="001F4317">
        <w:rPr>
          <w:rFonts w:asciiTheme="minorHAnsi" w:hAnsiTheme="minorHAnsi" w:cstheme="minorHAnsi"/>
          <w:szCs w:val="20"/>
        </w:rPr>
        <w:t>son</w:t>
      </w:r>
      <w:r w:rsidR="0016228A" w:rsidRPr="001F4317">
        <w:rPr>
          <w:rFonts w:asciiTheme="minorHAnsi" w:hAnsiTheme="minorHAnsi" w:cstheme="minorHAnsi"/>
          <w:szCs w:val="20"/>
        </w:rPr>
        <w:t xml:space="preserve"> califica</w:t>
      </w:r>
      <w:r w:rsidR="00744A96" w:rsidRPr="001F4317">
        <w:rPr>
          <w:rFonts w:asciiTheme="minorHAnsi" w:hAnsiTheme="minorHAnsi" w:cstheme="minorHAnsi"/>
          <w:szCs w:val="20"/>
        </w:rPr>
        <w:t>dos como</w:t>
      </w:r>
      <w:r w:rsidR="0016228A" w:rsidRPr="001F4317">
        <w:rPr>
          <w:rFonts w:asciiTheme="minorHAnsi" w:hAnsiTheme="minorHAnsi" w:cstheme="minorHAnsi"/>
          <w:szCs w:val="20"/>
        </w:rPr>
        <w:t xml:space="preserve"> subordinados. En defensa del carácter esencialmente subordinado, c</w:t>
      </w:r>
      <w:r w:rsidR="00F82289" w:rsidRPr="001F4317">
        <w:rPr>
          <w:rFonts w:asciiTheme="minorHAnsi" w:hAnsiTheme="minorHAnsi" w:cstheme="minorHAnsi"/>
          <w:szCs w:val="20"/>
        </w:rPr>
        <w:t xml:space="preserve">fr. </w:t>
      </w:r>
      <w:bookmarkStart w:id="37" w:name="_Hlk172566889"/>
      <w:r w:rsidR="00F82289" w:rsidRPr="001F4317">
        <w:rPr>
          <w:rFonts w:asciiTheme="minorHAnsi" w:hAnsiTheme="minorHAnsi" w:cstheme="minorHAnsi"/>
          <w:smallCaps/>
          <w:szCs w:val="20"/>
        </w:rPr>
        <w:t>Colino Mediavilla</w:t>
      </w:r>
      <w:r w:rsidR="00F82289" w:rsidRPr="001F4317">
        <w:rPr>
          <w:rFonts w:asciiTheme="minorHAnsi" w:hAnsiTheme="minorHAnsi" w:cstheme="minorHAnsi"/>
          <w:szCs w:val="20"/>
        </w:rPr>
        <w:t>,</w:t>
      </w:r>
      <w:r w:rsidR="00E9437B" w:rsidRPr="001F4317">
        <w:rPr>
          <w:rFonts w:asciiTheme="minorHAnsi" w:hAnsiTheme="minorHAnsi" w:cstheme="minorHAnsi"/>
          <w:szCs w:val="20"/>
        </w:rPr>
        <w:t xml:space="preserve"> José Luis,</w:t>
      </w:r>
      <w:r w:rsidR="00F82289" w:rsidRPr="001F4317">
        <w:rPr>
          <w:rFonts w:asciiTheme="minorHAnsi" w:hAnsiTheme="minorHAnsi" w:cstheme="minorHAnsi"/>
          <w:szCs w:val="20"/>
        </w:rPr>
        <w:t xml:space="preserve"> “Los créditos participativos son necesariamente subordinados por pacto contractual”, </w:t>
      </w:r>
      <w:r w:rsidR="00F82289" w:rsidRPr="001F4317">
        <w:rPr>
          <w:rFonts w:asciiTheme="minorHAnsi" w:hAnsiTheme="minorHAnsi" w:cstheme="minorHAnsi"/>
          <w:i/>
          <w:iCs/>
          <w:szCs w:val="20"/>
        </w:rPr>
        <w:t xml:space="preserve">Revista de </w:t>
      </w:r>
      <w:r w:rsidR="00E9437B" w:rsidRPr="001F4317">
        <w:rPr>
          <w:rFonts w:asciiTheme="minorHAnsi" w:hAnsiTheme="minorHAnsi" w:cstheme="minorHAnsi"/>
          <w:i/>
          <w:iCs/>
          <w:szCs w:val="20"/>
        </w:rPr>
        <w:t xml:space="preserve">Derecho Bancario </w:t>
      </w:r>
      <w:r w:rsidR="00F82289" w:rsidRPr="001F4317">
        <w:rPr>
          <w:rFonts w:asciiTheme="minorHAnsi" w:hAnsiTheme="minorHAnsi" w:cstheme="minorHAnsi"/>
          <w:i/>
          <w:iCs/>
          <w:szCs w:val="20"/>
        </w:rPr>
        <w:t xml:space="preserve">y </w:t>
      </w:r>
      <w:r w:rsidR="00E9437B" w:rsidRPr="001F4317">
        <w:rPr>
          <w:rFonts w:asciiTheme="minorHAnsi" w:hAnsiTheme="minorHAnsi" w:cstheme="minorHAnsi"/>
          <w:i/>
          <w:iCs/>
          <w:szCs w:val="20"/>
        </w:rPr>
        <w:t>Bursátil</w:t>
      </w:r>
      <w:r w:rsidR="00F82289" w:rsidRPr="001F4317">
        <w:rPr>
          <w:rFonts w:asciiTheme="minorHAnsi" w:hAnsiTheme="minorHAnsi" w:cstheme="minorHAnsi"/>
          <w:szCs w:val="20"/>
        </w:rPr>
        <w:t>, núm. 143, 2021</w:t>
      </w:r>
      <w:bookmarkEnd w:id="37"/>
      <w:r w:rsidR="00F82289" w:rsidRPr="001F4317">
        <w:rPr>
          <w:rFonts w:asciiTheme="minorHAnsi" w:hAnsiTheme="minorHAnsi" w:cstheme="minorHAnsi"/>
          <w:szCs w:val="20"/>
        </w:rPr>
        <w:t>, pgs. 291-294</w:t>
      </w:r>
      <w:r w:rsidR="0016228A" w:rsidRPr="001F4317">
        <w:rPr>
          <w:rFonts w:asciiTheme="minorHAnsi" w:hAnsiTheme="minorHAnsi" w:cstheme="minorHAnsi"/>
          <w:szCs w:val="20"/>
        </w:rPr>
        <w:t xml:space="preserve">. Por su parte, </w:t>
      </w:r>
      <w:bookmarkStart w:id="38" w:name="_Hlk172566908"/>
      <w:r w:rsidR="00F82289" w:rsidRPr="001F4317">
        <w:rPr>
          <w:rFonts w:asciiTheme="minorHAnsi" w:hAnsiTheme="minorHAnsi" w:cstheme="minorHAnsi"/>
          <w:szCs w:val="20"/>
        </w:rPr>
        <w:t xml:space="preserve">Francisco </w:t>
      </w:r>
      <w:r w:rsidR="00F82289" w:rsidRPr="001F4317">
        <w:rPr>
          <w:rFonts w:asciiTheme="minorHAnsi" w:hAnsiTheme="minorHAnsi" w:cstheme="minorHAnsi"/>
          <w:smallCaps/>
          <w:szCs w:val="20"/>
        </w:rPr>
        <w:t>Castillo Iborra</w:t>
      </w:r>
      <w:r w:rsidR="0016228A" w:rsidRPr="001F4317">
        <w:rPr>
          <w:rFonts w:asciiTheme="minorHAnsi" w:hAnsiTheme="minorHAnsi" w:cstheme="minorHAnsi"/>
          <w:szCs w:val="20"/>
        </w:rPr>
        <w:t xml:space="preserve"> (</w:t>
      </w:r>
      <w:r w:rsidR="00F82289" w:rsidRPr="001F4317">
        <w:rPr>
          <w:rFonts w:asciiTheme="minorHAnsi" w:hAnsiTheme="minorHAnsi" w:cstheme="minorHAnsi"/>
          <w:szCs w:val="20"/>
        </w:rPr>
        <w:t xml:space="preserve">“Aproximación al préstamo participativo y análisis de su jurisprudencia”, en </w:t>
      </w:r>
      <w:r w:rsidR="00F82289" w:rsidRPr="001F4317">
        <w:rPr>
          <w:rFonts w:asciiTheme="minorHAnsi" w:hAnsiTheme="minorHAnsi" w:cstheme="minorHAnsi"/>
          <w:smallCaps/>
          <w:szCs w:val="20"/>
        </w:rPr>
        <w:t>González Castilla</w:t>
      </w:r>
      <w:r w:rsidR="00E9437B" w:rsidRPr="001F4317">
        <w:rPr>
          <w:rFonts w:asciiTheme="minorHAnsi" w:hAnsiTheme="minorHAnsi" w:cstheme="minorHAnsi"/>
          <w:smallCaps/>
          <w:szCs w:val="20"/>
        </w:rPr>
        <w:t>,</w:t>
      </w:r>
      <w:r w:rsidR="00E9437B" w:rsidRPr="001F4317">
        <w:rPr>
          <w:rFonts w:asciiTheme="minorHAnsi" w:hAnsiTheme="minorHAnsi" w:cstheme="minorHAnsi"/>
          <w:szCs w:val="20"/>
        </w:rPr>
        <w:t xml:space="preserve"> Francisco</w:t>
      </w:r>
      <w:r w:rsidR="00F82289" w:rsidRPr="001F4317">
        <w:rPr>
          <w:rFonts w:asciiTheme="minorHAnsi" w:hAnsiTheme="minorHAnsi" w:cstheme="minorHAnsi"/>
          <w:szCs w:val="20"/>
        </w:rPr>
        <w:t>/</w:t>
      </w:r>
      <w:r w:rsidR="00F82289" w:rsidRPr="001F4317">
        <w:rPr>
          <w:rFonts w:asciiTheme="minorHAnsi" w:hAnsiTheme="minorHAnsi" w:cstheme="minorHAnsi"/>
          <w:smallCaps/>
          <w:szCs w:val="20"/>
        </w:rPr>
        <w:t>Nieto Carol</w:t>
      </w:r>
      <w:r w:rsidR="00E9437B" w:rsidRPr="001F4317">
        <w:rPr>
          <w:rFonts w:asciiTheme="minorHAnsi" w:hAnsiTheme="minorHAnsi" w:cstheme="minorHAnsi"/>
          <w:smallCaps/>
          <w:szCs w:val="20"/>
        </w:rPr>
        <w:t>,</w:t>
      </w:r>
      <w:r w:rsidR="00F82289" w:rsidRPr="001F4317">
        <w:rPr>
          <w:rFonts w:asciiTheme="minorHAnsi" w:hAnsiTheme="minorHAnsi" w:cstheme="minorHAnsi"/>
          <w:szCs w:val="20"/>
        </w:rPr>
        <w:t xml:space="preserve"> </w:t>
      </w:r>
      <w:r w:rsidR="00E9437B" w:rsidRPr="001F4317">
        <w:rPr>
          <w:rFonts w:asciiTheme="minorHAnsi" w:hAnsiTheme="minorHAnsi" w:cstheme="minorHAnsi"/>
          <w:szCs w:val="20"/>
        </w:rPr>
        <w:t xml:space="preserve">Ubaldo </w:t>
      </w:r>
      <w:r w:rsidR="00F82289" w:rsidRPr="001F4317">
        <w:rPr>
          <w:rFonts w:asciiTheme="minorHAnsi" w:hAnsiTheme="minorHAnsi" w:cstheme="minorHAnsi"/>
          <w:szCs w:val="20"/>
        </w:rPr>
        <w:t xml:space="preserve">(dirs.), </w:t>
      </w:r>
      <w:r w:rsidR="00F82289" w:rsidRPr="001F4317">
        <w:rPr>
          <w:rFonts w:asciiTheme="minorHAnsi" w:hAnsiTheme="minorHAnsi" w:cstheme="minorHAnsi"/>
          <w:i/>
          <w:iCs/>
          <w:szCs w:val="20"/>
        </w:rPr>
        <w:t>Contratación empresarial y Derecho privado</w:t>
      </w:r>
      <w:r w:rsidR="00F82289" w:rsidRPr="001F4317">
        <w:rPr>
          <w:rFonts w:asciiTheme="minorHAnsi" w:hAnsiTheme="minorHAnsi" w:cstheme="minorHAnsi"/>
          <w:szCs w:val="20"/>
        </w:rPr>
        <w:t>, Tirant lo Blanch, Valencia, 2023</w:t>
      </w:r>
      <w:bookmarkEnd w:id="38"/>
      <w:r w:rsidR="00F82289" w:rsidRPr="001F4317">
        <w:rPr>
          <w:rFonts w:asciiTheme="minorHAnsi" w:hAnsiTheme="minorHAnsi" w:cstheme="minorHAnsi"/>
          <w:szCs w:val="20"/>
        </w:rPr>
        <w:t>, pg. 818</w:t>
      </w:r>
      <w:r w:rsidR="0016228A" w:rsidRPr="001F4317">
        <w:rPr>
          <w:rFonts w:asciiTheme="minorHAnsi" w:hAnsiTheme="minorHAnsi" w:cstheme="minorHAnsi"/>
          <w:szCs w:val="20"/>
        </w:rPr>
        <w:t>) admite que las partes puedan pactar la exclusión del carácter subordinado.</w:t>
      </w:r>
    </w:p>
  </w:footnote>
  <w:footnote w:id="52">
    <w:p w14:paraId="7FB8DED5" w14:textId="250E261F" w:rsidR="00691CD2" w:rsidRPr="001F4317" w:rsidRDefault="00691CD2"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r w:rsidR="00025D74" w:rsidRPr="001F4317">
        <w:rPr>
          <w:rFonts w:asciiTheme="minorHAnsi" w:hAnsiTheme="minorHAnsi" w:cstheme="minorHAnsi"/>
          <w:smallCaps/>
          <w:szCs w:val="20"/>
        </w:rPr>
        <w:t xml:space="preserve">Clemente </w:t>
      </w:r>
      <w:proofErr w:type="spellStart"/>
      <w:r w:rsidR="00025D74" w:rsidRPr="001F4317">
        <w:rPr>
          <w:rFonts w:asciiTheme="minorHAnsi" w:hAnsiTheme="minorHAnsi" w:cstheme="minorHAnsi"/>
          <w:smallCaps/>
          <w:szCs w:val="20"/>
        </w:rPr>
        <w:t>Clemente</w:t>
      </w:r>
      <w:proofErr w:type="spellEnd"/>
      <w:r w:rsidR="00025D74" w:rsidRPr="001F4317">
        <w:rPr>
          <w:rFonts w:asciiTheme="minorHAnsi" w:hAnsiTheme="minorHAnsi" w:cstheme="minorHAnsi"/>
          <w:szCs w:val="20"/>
        </w:rPr>
        <w:t xml:space="preserve">, </w:t>
      </w:r>
      <w:r w:rsidRPr="001F4317">
        <w:rPr>
          <w:rFonts w:asciiTheme="minorHAnsi" w:hAnsiTheme="minorHAnsi" w:cstheme="minorHAnsi"/>
          <w:szCs w:val="20"/>
        </w:rPr>
        <w:t xml:space="preserve">“El contrato de cuenta en participación: renacimiento de una vieja institución”, </w:t>
      </w:r>
      <w:r w:rsidR="00025D74" w:rsidRPr="001F4317">
        <w:rPr>
          <w:rFonts w:asciiTheme="minorHAnsi" w:hAnsiTheme="minorHAnsi" w:cstheme="minorHAnsi"/>
          <w:szCs w:val="20"/>
        </w:rPr>
        <w:t>pgs. 103.</w:t>
      </w:r>
    </w:p>
  </w:footnote>
  <w:footnote w:id="53">
    <w:p w14:paraId="5567462C" w14:textId="77777777" w:rsidR="008648AA" w:rsidRPr="001F4317" w:rsidRDefault="008648A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La STJUE de 2 de abril de 2020 [TJCE 2020\69] </w:t>
      </w:r>
      <w:r w:rsidRPr="001F4317">
        <w:rPr>
          <w:rFonts w:asciiTheme="minorHAnsi" w:hAnsiTheme="minorHAnsi" w:cstheme="minorHAnsi"/>
          <w:bCs/>
          <w:szCs w:val="20"/>
        </w:rPr>
        <w:t>reconoció la condición de consumidor en un inversor. El hecho de que el producto adquirido fuera un instrumento financiero tampoco implica la exclusión de la normativa de consumidores.</w:t>
      </w:r>
    </w:p>
  </w:footnote>
  <w:footnote w:id="54">
    <w:p w14:paraId="75FBD93A" w14:textId="77777777" w:rsidR="008648AA" w:rsidRPr="001F4317" w:rsidRDefault="008648A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proofErr w:type="spellStart"/>
      <w:r w:rsidRPr="001F4317">
        <w:rPr>
          <w:rFonts w:asciiTheme="minorHAnsi" w:hAnsiTheme="minorHAnsi" w:cstheme="minorHAnsi"/>
          <w:smallCaps/>
          <w:szCs w:val="20"/>
        </w:rPr>
        <w:t>Cuena</w:t>
      </w:r>
      <w:proofErr w:type="spellEnd"/>
      <w:r w:rsidRPr="001F4317">
        <w:rPr>
          <w:rFonts w:asciiTheme="minorHAnsi" w:hAnsiTheme="minorHAnsi" w:cstheme="minorHAnsi"/>
          <w:smallCaps/>
          <w:szCs w:val="20"/>
        </w:rPr>
        <w:t xml:space="preserve"> Casas</w:t>
      </w:r>
      <w:r w:rsidRPr="001F4317">
        <w:rPr>
          <w:rFonts w:asciiTheme="minorHAnsi" w:hAnsiTheme="minorHAnsi" w:cstheme="minorHAnsi"/>
          <w:szCs w:val="20"/>
        </w:rPr>
        <w:t xml:space="preserve">, “Régimen jurídico del crowdlending o préstamo en masa en el Derecho Español”, pgs. 459-461 y </w:t>
      </w:r>
      <w:r w:rsidRPr="001F4317">
        <w:rPr>
          <w:rFonts w:asciiTheme="minorHAnsi" w:hAnsiTheme="minorHAnsi" w:cstheme="minorHAnsi"/>
          <w:smallCaps/>
          <w:szCs w:val="20"/>
        </w:rPr>
        <w:t>De Goñi Barbarin</w:t>
      </w:r>
      <w:r w:rsidRPr="001F4317">
        <w:rPr>
          <w:rFonts w:asciiTheme="minorHAnsi" w:hAnsiTheme="minorHAnsi" w:cstheme="minorHAnsi"/>
          <w:szCs w:val="20"/>
        </w:rPr>
        <w:t>, “Servicios de intermediación contractual prestados por plataformas digitales: la financiación participativa a través de préstamos”, pgs. 3261-3262.</w:t>
      </w:r>
    </w:p>
  </w:footnote>
  <w:footnote w:id="55">
    <w:p w14:paraId="6AE8E828" w14:textId="78A521E2" w:rsidR="0091003F" w:rsidRPr="001F4317" w:rsidRDefault="0091003F"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CNMV, </w:t>
      </w:r>
      <w:r w:rsidRPr="001F4317">
        <w:rPr>
          <w:rFonts w:asciiTheme="minorHAnsi" w:hAnsiTheme="minorHAnsi" w:cstheme="minorHAnsi"/>
          <w:i/>
          <w:iCs/>
          <w:szCs w:val="20"/>
        </w:rPr>
        <w:t xml:space="preserve">Preguntas y Respuestas dirigidas a empresas </w:t>
      </w:r>
      <w:proofErr w:type="spellStart"/>
      <w:r w:rsidRPr="001F4317">
        <w:rPr>
          <w:rFonts w:asciiTheme="minorHAnsi" w:hAnsiTheme="minorHAnsi" w:cstheme="minorHAnsi"/>
          <w:i/>
          <w:iCs/>
          <w:szCs w:val="20"/>
        </w:rPr>
        <w:t>FinTech</w:t>
      </w:r>
      <w:proofErr w:type="spellEnd"/>
      <w:r w:rsidRPr="001F4317">
        <w:rPr>
          <w:rFonts w:asciiTheme="minorHAnsi" w:hAnsiTheme="minorHAnsi" w:cstheme="minorHAnsi"/>
          <w:i/>
          <w:iCs/>
          <w:szCs w:val="20"/>
        </w:rPr>
        <w:t xml:space="preserve"> sobre actividades y servicios que pueden tener relación con la CNMV</w:t>
      </w:r>
      <w:r w:rsidRPr="001F4317">
        <w:rPr>
          <w:rFonts w:asciiTheme="minorHAnsi" w:hAnsiTheme="minorHAnsi" w:cstheme="minorHAnsi"/>
          <w:szCs w:val="20"/>
        </w:rPr>
        <w:t xml:space="preserve">, </w:t>
      </w:r>
      <w:r w:rsidR="007747A5" w:rsidRPr="001F4317">
        <w:rPr>
          <w:rFonts w:asciiTheme="minorHAnsi" w:hAnsiTheme="minorHAnsi" w:cstheme="minorHAnsi"/>
          <w:szCs w:val="20"/>
        </w:rPr>
        <w:t xml:space="preserve">pregunta </w:t>
      </w:r>
      <w:r w:rsidRPr="001F4317">
        <w:rPr>
          <w:rFonts w:asciiTheme="minorHAnsi" w:hAnsiTheme="minorHAnsi" w:cstheme="minorHAnsi"/>
          <w:szCs w:val="20"/>
        </w:rPr>
        <w:t>3.</w:t>
      </w:r>
      <w:r w:rsidR="00DE3678" w:rsidRPr="001F4317">
        <w:rPr>
          <w:rFonts w:asciiTheme="minorHAnsi" w:hAnsiTheme="minorHAnsi" w:cstheme="minorHAnsi"/>
          <w:szCs w:val="20"/>
        </w:rPr>
        <w:t>2</w:t>
      </w:r>
      <w:r w:rsidRPr="001F4317">
        <w:rPr>
          <w:rFonts w:asciiTheme="minorHAnsi" w:hAnsiTheme="minorHAnsi" w:cstheme="minorHAnsi"/>
          <w:szCs w:val="20"/>
        </w:rPr>
        <w:t>.</w:t>
      </w:r>
      <w:r w:rsidR="007761ED" w:rsidRPr="001F4317">
        <w:rPr>
          <w:rFonts w:asciiTheme="minorHAnsi" w:hAnsiTheme="minorHAnsi" w:cstheme="minorHAnsi"/>
          <w:szCs w:val="20"/>
        </w:rPr>
        <w:t xml:space="preserve"> </w:t>
      </w:r>
      <w:r w:rsidR="00EA19C5" w:rsidRPr="001F4317">
        <w:rPr>
          <w:rFonts w:asciiTheme="minorHAnsi" w:hAnsiTheme="minorHAnsi" w:cstheme="minorHAnsi"/>
          <w:szCs w:val="20"/>
        </w:rPr>
        <w:t>La</w:t>
      </w:r>
      <w:r w:rsidR="007761ED" w:rsidRPr="001F4317">
        <w:rPr>
          <w:rFonts w:asciiTheme="minorHAnsi" w:hAnsiTheme="minorHAnsi" w:cstheme="minorHAnsi"/>
          <w:szCs w:val="20"/>
        </w:rPr>
        <w:t xml:space="preserve"> vulneración reiterada de la prohibición del artículo 50 LFFE constituía una infracción muy grave (</w:t>
      </w:r>
      <w:r w:rsidR="00430C68" w:rsidRPr="001F4317">
        <w:rPr>
          <w:rFonts w:asciiTheme="minorHAnsi" w:hAnsiTheme="minorHAnsi" w:cstheme="minorHAnsi"/>
          <w:szCs w:val="20"/>
        </w:rPr>
        <w:t xml:space="preserve">art. </w:t>
      </w:r>
      <w:r w:rsidR="007761ED" w:rsidRPr="001F4317">
        <w:rPr>
          <w:rFonts w:asciiTheme="minorHAnsi" w:hAnsiTheme="minorHAnsi" w:cstheme="minorHAnsi"/>
          <w:szCs w:val="20"/>
        </w:rPr>
        <w:t>92.1.a) LFFE) y podía ser sancionada con multas o con la revocación de la autorización para operar como plataforma de financiación participativa (</w:t>
      </w:r>
      <w:r w:rsidR="00430C68" w:rsidRPr="001F4317">
        <w:rPr>
          <w:rFonts w:asciiTheme="minorHAnsi" w:hAnsiTheme="minorHAnsi" w:cstheme="minorHAnsi"/>
          <w:szCs w:val="20"/>
        </w:rPr>
        <w:t xml:space="preserve">art. </w:t>
      </w:r>
      <w:r w:rsidR="007761ED" w:rsidRPr="001F4317">
        <w:rPr>
          <w:rFonts w:asciiTheme="minorHAnsi" w:hAnsiTheme="minorHAnsi" w:cstheme="minorHAnsi"/>
          <w:szCs w:val="20"/>
        </w:rPr>
        <w:t>93.1 LFFE).</w:t>
      </w:r>
    </w:p>
  </w:footnote>
  <w:footnote w:id="56">
    <w:p w14:paraId="1B130E75" w14:textId="38617C5C" w:rsidR="00AF36B1" w:rsidRPr="001F4317" w:rsidRDefault="00AF36B1"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r w:rsidRPr="001F4317">
        <w:rPr>
          <w:rFonts w:asciiTheme="minorHAnsi" w:hAnsiTheme="minorHAnsi" w:cstheme="minorHAnsi"/>
          <w:smallCaps/>
          <w:szCs w:val="20"/>
        </w:rPr>
        <w:t>Jiménez París</w:t>
      </w:r>
      <w:r w:rsidRPr="001F4317">
        <w:rPr>
          <w:rFonts w:asciiTheme="minorHAnsi" w:hAnsiTheme="minorHAnsi" w:cstheme="minorHAnsi"/>
          <w:szCs w:val="20"/>
        </w:rPr>
        <w:t xml:space="preserve">, </w:t>
      </w:r>
      <w:r w:rsidR="0006209E" w:rsidRPr="001F4317">
        <w:rPr>
          <w:rFonts w:asciiTheme="minorHAnsi" w:hAnsiTheme="minorHAnsi" w:cstheme="minorHAnsi"/>
          <w:szCs w:val="20"/>
        </w:rPr>
        <w:t xml:space="preserve">Teresa Asunción, </w:t>
      </w:r>
      <w:r w:rsidRPr="001F4317">
        <w:rPr>
          <w:rFonts w:asciiTheme="minorHAnsi" w:hAnsiTheme="minorHAnsi" w:cstheme="minorHAnsi"/>
          <w:szCs w:val="20"/>
        </w:rPr>
        <w:t>“</w:t>
      </w:r>
      <w:r w:rsidR="00343F79" w:rsidRPr="001F4317">
        <w:rPr>
          <w:rFonts w:asciiTheme="minorHAnsi" w:hAnsiTheme="minorHAnsi" w:cstheme="minorHAnsi"/>
          <w:szCs w:val="20"/>
        </w:rPr>
        <w:t xml:space="preserve">El </w:t>
      </w:r>
      <w:r w:rsidR="00343F79" w:rsidRPr="001F4317">
        <w:rPr>
          <w:rFonts w:asciiTheme="minorHAnsi" w:hAnsiTheme="minorHAnsi" w:cstheme="minorHAnsi"/>
          <w:i/>
          <w:szCs w:val="20"/>
        </w:rPr>
        <w:t>crowdfunding</w:t>
      </w:r>
      <w:r w:rsidR="00343F79" w:rsidRPr="001F4317">
        <w:rPr>
          <w:rFonts w:asciiTheme="minorHAnsi" w:hAnsiTheme="minorHAnsi" w:cstheme="minorHAnsi"/>
          <w:szCs w:val="20"/>
        </w:rPr>
        <w:t xml:space="preserve"> inmobiliario en España. Cuestiones resueltas y no resueltas por la Ley de fomento de la financiación empresarial”, en </w:t>
      </w:r>
      <w:proofErr w:type="spellStart"/>
      <w:r w:rsidR="00343F79" w:rsidRPr="001F4317">
        <w:rPr>
          <w:rFonts w:asciiTheme="minorHAnsi" w:hAnsiTheme="minorHAnsi" w:cstheme="minorHAnsi"/>
          <w:smallCaps/>
          <w:szCs w:val="20"/>
        </w:rPr>
        <w:t>Cuena</w:t>
      </w:r>
      <w:proofErr w:type="spellEnd"/>
      <w:r w:rsidR="00343F79" w:rsidRPr="001F4317">
        <w:rPr>
          <w:rFonts w:asciiTheme="minorHAnsi" w:hAnsiTheme="minorHAnsi" w:cstheme="minorHAnsi"/>
          <w:smallCaps/>
          <w:szCs w:val="20"/>
        </w:rPr>
        <w:t xml:space="preserve"> Casas,</w:t>
      </w:r>
      <w:r w:rsidR="00343F79" w:rsidRPr="001F4317">
        <w:rPr>
          <w:rFonts w:asciiTheme="minorHAnsi" w:hAnsiTheme="minorHAnsi" w:cstheme="minorHAnsi"/>
          <w:szCs w:val="20"/>
        </w:rPr>
        <w:t xml:space="preserve"> Matilde (dir.), </w:t>
      </w:r>
      <w:r w:rsidR="00343F79" w:rsidRPr="001F4317">
        <w:rPr>
          <w:rFonts w:asciiTheme="minorHAnsi" w:hAnsiTheme="minorHAnsi" w:cstheme="minorHAnsi"/>
          <w:i/>
          <w:iCs/>
          <w:szCs w:val="20"/>
        </w:rPr>
        <w:t>Aspectos legales de la financiación en masa o crowdfunding</w:t>
      </w:r>
      <w:r w:rsidR="00343F79" w:rsidRPr="001F4317">
        <w:rPr>
          <w:rFonts w:asciiTheme="minorHAnsi" w:hAnsiTheme="minorHAnsi" w:cstheme="minorHAnsi"/>
          <w:szCs w:val="20"/>
        </w:rPr>
        <w:t xml:space="preserve">, Tirant lo Blanch, Valencia, 2020, </w:t>
      </w:r>
      <w:r w:rsidRPr="001F4317">
        <w:rPr>
          <w:rFonts w:asciiTheme="minorHAnsi" w:hAnsiTheme="minorHAnsi" w:cstheme="minorHAnsi"/>
          <w:szCs w:val="20"/>
        </w:rPr>
        <w:t>pg. 538.</w:t>
      </w:r>
    </w:p>
  </w:footnote>
  <w:footnote w:id="57">
    <w:p w14:paraId="39A4C050" w14:textId="1C35F077" w:rsidR="007B0A16" w:rsidRPr="001F4317" w:rsidRDefault="007B0A16"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80490E">
        <w:rPr>
          <w:rFonts w:asciiTheme="minorHAnsi" w:hAnsiTheme="minorHAnsi" w:cstheme="minorHAnsi"/>
          <w:szCs w:val="20"/>
          <w:lang w:val="en-AU"/>
        </w:rPr>
        <w:t xml:space="preserve"> </w:t>
      </w:r>
      <w:proofErr w:type="spellStart"/>
      <w:r w:rsidRPr="0080490E">
        <w:rPr>
          <w:rFonts w:asciiTheme="minorHAnsi" w:hAnsiTheme="minorHAnsi" w:cstheme="minorHAnsi"/>
          <w:szCs w:val="20"/>
          <w:lang w:val="en-AU"/>
        </w:rPr>
        <w:t>Cfr</w:t>
      </w:r>
      <w:proofErr w:type="spellEnd"/>
      <w:r w:rsidRPr="0080490E">
        <w:rPr>
          <w:rFonts w:asciiTheme="minorHAnsi" w:hAnsiTheme="minorHAnsi" w:cstheme="minorHAnsi"/>
          <w:szCs w:val="20"/>
          <w:lang w:val="en-AU"/>
        </w:rPr>
        <w:t xml:space="preserve">. </w:t>
      </w:r>
      <w:r w:rsidRPr="0080490E">
        <w:rPr>
          <w:rFonts w:asciiTheme="minorHAnsi" w:hAnsiTheme="minorHAnsi" w:cstheme="minorHAnsi"/>
          <w:smallCaps/>
          <w:szCs w:val="20"/>
          <w:lang w:val="en-AU"/>
        </w:rPr>
        <w:t>Hernández Sainz</w:t>
      </w:r>
      <w:r w:rsidRPr="0080490E">
        <w:rPr>
          <w:rFonts w:asciiTheme="minorHAnsi" w:hAnsiTheme="minorHAnsi" w:cstheme="minorHAnsi"/>
          <w:szCs w:val="20"/>
          <w:lang w:val="en-AU"/>
        </w:rPr>
        <w:t>, “</w:t>
      </w:r>
      <w:r w:rsidRPr="0080490E">
        <w:rPr>
          <w:rFonts w:asciiTheme="minorHAnsi" w:hAnsiTheme="minorHAnsi" w:cstheme="minorHAnsi"/>
          <w:i/>
          <w:szCs w:val="20"/>
          <w:lang w:val="en-AU"/>
        </w:rPr>
        <w:t>Crowdfunding</w:t>
      </w:r>
      <w:r w:rsidRPr="0080490E">
        <w:rPr>
          <w:rFonts w:asciiTheme="minorHAnsi" w:hAnsiTheme="minorHAnsi" w:cstheme="minorHAnsi"/>
          <w:szCs w:val="20"/>
          <w:lang w:val="en-AU"/>
        </w:rPr>
        <w:t xml:space="preserve"> inmobiliario. </w:t>
      </w:r>
      <w:r w:rsidRPr="001F4317">
        <w:rPr>
          <w:rFonts w:asciiTheme="minorHAnsi" w:hAnsiTheme="minorHAnsi" w:cstheme="minorHAnsi"/>
          <w:szCs w:val="20"/>
        </w:rPr>
        <w:t>Alternativas para su articulación jurídica y riesgos para el inversor”, pg. 275.</w:t>
      </w:r>
    </w:p>
  </w:footnote>
  <w:footnote w:id="58">
    <w:p w14:paraId="188B2C82" w14:textId="0B2BF3B1" w:rsidR="005B4CBD" w:rsidRPr="001F4317" w:rsidRDefault="005B4CBD"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80490E">
        <w:rPr>
          <w:rFonts w:asciiTheme="minorHAnsi" w:hAnsiTheme="minorHAnsi" w:cstheme="minorHAnsi"/>
          <w:szCs w:val="20"/>
          <w:lang w:val="en-AU"/>
        </w:rPr>
        <w:t xml:space="preserve"> </w:t>
      </w:r>
      <w:proofErr w:type="spellStart"/>
      <w:r w:rsidRPr="0080490E">
        <w:rPr>
          <w:rFonts w:asciiTheme="minorHAnsi" w:hAnsiTheme="minorHAnsi" w:cstheme="minorHAnsi"/>
          <w:szCs w:val="20"/>
          <w:lang w:val="en-AU"/>
        </w:rPr>
        <w:t>Cfr</w:t>
      </w:r>
      <w:proofErr w:type="spellEnd"/>
      <w:r w:rsidRPr="0080490E">
        <w:rPr>
          <w:rFonts w:asciiTheme="minorHAnsi" w:hAnsiTheme="minorHAnsi" w:cstheme="minorHAnsi"/>
          <w:szCs w:val="20"/>
          <w:lang w:val="en-AU"/>
        </w:rPr>
        <w:t xml:space="preserve">. </w:t>
      </w:r>
      <w:r w:rsidRPr="0080490E">
        <w:rPr>
          <w:rFonts w:asciiTheme="minorHAnsi" w:hAnsiTheme="minorHAnsi" w:cstheme="minorHAnsi"/>
          <w:smallCaps/>
          <w:szCs w:val="20"/>
          <w:lang w:val="en-AU"/>
        </w:rPr>
        <w:t>Hernández Sainz</w:t>
      </w:r>
      <w:r w:rsidRPr="0080490E">
        <w:rPr>
          <w:rFonts w:asciiTheme="minorHAnsi" w:hAnsiTheme="minorHAnsi" w:cstheme="minorHAnsi"/>
          <w:szCs w:val="20"/>
          <w:lang w:val="en-AU"/>
        </w:rPr>
        <w:t>, “</w:t>
      </w:r>
      <w:r w:rsidRPr="0080490E">
        <w:rPr>
          <w:rFonts w:asciiTheme="minorHAnsi" w:hAnsiTheme="minorHAnsi" w:cstheme="minorHAnsi"/>
          <w:i/>
          <w:szCs w:val="20"/>
          <w:lang w:val="en-AU"/>
        </w:rPr>
        <w:t>Crowdfunding</w:t>
      </w:r>
      <w:r w:rsidRPr="0080490E">
        <w:rPr>
          <w:rFonts w:asciiTheme="minorHAnsi" w:hAnsiTheme="minorHAnsi" w:cstheme="minorHAnsi"/>
          <w:szCs w:val="20"/>
          <w:lang w:val="en-AU"/>
        </w:rPr>
        <w:t xml:space="preserve"> inmobiliario. </w:t>
      </w:r>
      <w:r w:rsidRPr="001F4317">
        <w:rPr>
          <w:rFonts w:asciiTheme="minorHAnsi" w:hAnsiTheme="minorHAnsi" w:cstheme="minorHAnsi"/>
          <w:szCs w:val="20"/>
        </w:rPr>
        <w:t>Alternativas para su articulación jurídica y riesgos para el inversor”, pg. 275.</w:t>
      </w:r>
    </w:p>
  </w:footnote>
  <w:footnote w:id="59">
    <w:p w14:paraId="74D6AF27" w14:textId="0FEE48D2" w:rsidR="000F4D2A" w:rsidRPr="001F4317" w:rsidRDefault="000F4D2A" w:rsidP="001F4317">
      <w:pPr>
        <w:pBdr>
          <w:top w:val="nil"/>
          <w:left w:val="nil"/>
          <w:bottom w:val="nil"/>
          <w:right w:val="nil"/>
          <w:between w:val="nil"/>
        </w:pBdr>
        <w:spacing w:after="0" w:line="240" w:lineRule="auto"/>
        <w:ind w:firstLine="0"/>
        <w:rPr>
          <w:rFonts w:asciiTheme="minorHAnsi" w:hAnsiTheme="minorHAnsi" w:cstheme="minorHAnsi"/>
          <w:color w:val="000000"/>
          <w:sz w:val="20"/>
          <w:szCs w:val="20"/>
        </w:rPr>
      </w:pPr>
      <w:r w:rsidRPr="001F4317">
        <w:rPr>
          <w:rFonts w:asciiTheme="minorHAnsi" w:hAnsiTheme="minorHAnsi" w:cstheme="minorHAnsi"/>
          <w:sz w:val="20"/>
          <w:szCs w:val="20"/>
          <w:vertAlign w:val="superscript"/>
        </w:rPr>
        <w:footnoteRef/>
      </w:r>
      <w:r w:rsidRPr="001F4317">
        <w:rPr>
          <w:rFonts w:asciiTheme="minorHAnsi" w:hAnsiTheme="minorHAnsi" w:cstheme="minorHAnsi"/>
          <w:color w:val="000000"/>
          <w:sz w:val="20"/>
          <w:szCs w:val="20"/>
        </w:rPr>
        <w:t xml:space="preserve"> CNMV, </w:t>
      </w:r>
      <w:r w:rsidRPr="001F4317">
        <w:rPr>
          <w:rFonts w:asciiTheme="minorHAnsi" w:hAnsiTheme="minorHAnsi" w:cstheme="minorHAnsi"/>
          <w:i/>
          <w:iCs/>
          <w:color w:val="000000"/>
          <w:sz w:val="20"/>
          <w:szCs w:val="20"/>
        </w:rPr>
        <w:t xml:space="preserve">Consideraciones de la CNMV sobre </w:t>
      </w:r>
      <w:r w:rsidR="00C04F85" w:rsidRPr="001F4317">
        <w:rPr>
          <w:rFonts w:asciiTheme="minorHAnsi" w:hAnsiTheme="minorHAnsi" w:cstheme="minorHAnsi"/>
          <w:i/>
          <w:iCs/>
          <w:color w:val="000000"/>
          <w:sz w:val="20"/>
          <w:szCs w:val="20"/>
        </w:rPr>
        <w:t>“</w:t>
      </w:r>
      <w:r w:rsidRPr="001F4317">
        <w:rPr>
          <w:rFonts w:asciiTheme="minorHAnsi" w:hAnsiTheme="minorHAnsi" w:cstheme="minorHAnsi"/>
          <w:i/>
          <w:iCs/>
          <w:color w:val="000000"/>
          <w:sz w:val="20"/>
          <w:szCs w:val="20"/>
        </w:rPr>
        <w:t>criptomonedas</w:t>
      </w:r>
      <w:r w:rsidR="00C04F85" w:rsidRPr="001F4317">
        <w:rPr>
          <w:rFonts w:asciiTheme="minorHAnsi" w:hAnsiTheme="minorHAnsi" w:cstheme="minorHAnsi"/>
          <w:i/>
          <w:iCs/>
          <w:color w:val="000000"/>
          <w:sz w:val="20"/>
          <w:szCs w:val="20"/>
        </w:rPr>
        <w:t>”</w:t>
      </w:r>
      <w:r w:rsidRPr="001F4317">
        <w:rPr>
          <w:rFonts w:asciiTheme="minorHAnsi" w:hAnsiTheme="minorHAnsi" w:cstheme="minorHAnsi"/>
          <w:i/>
          <w:iCs/>
          <w:color w:val="000000"/>
          <w:sz w:val="20"/>
          <w:szCs w:val="20"/>
        </w:rPr>
        <w:t xml:space="preserve"> e </w:t>
      </w:r>
      <w:r w:rsidR="00C04F85" w:rsidRPr="001F4317">
        <w:rPr>
          <w:rFonts w:asciiTheme="minorHAnsi" w:hAnsiTheme="minorHAnsi" w:cstheme="minorHAnsi"/>
          <w:i/>
          <w:iCs/>
          <w:color w:val="000000"/>
          <w:sz w:val="20"/>
          <w:szCs w:val="20"/>
        </w:rPr>
        <w:t>“</w:t>
      </w:r>
      <w:proofErr w:type="spellStart"/>
      <w:r w:rsidRPr="001F4317">
        <w:rPr>
          <w:rFonts w:asciiTheme="minorHAnsi" w:hAnsiTheme="minorHAnsi" w:cstheme="minorHAnsi"/>
          <w:i/>
          <w:iCs/>
          <w:color w:val="000000"/>
          <w:sz w:val="20"/>
          <w:szCs w:val="20"/>
        </w:rPr>
        <w:t>ICOs</w:t>
      </w:r>
      <w:proofErr w:type="spellEnd"/>
      <w:r w:rsidR="00C04F85" w:rsidRPr="001F4317">
        <w:rPr>
          <w:rFonts w:asciiTheme="minorHAnsi" w:hAnsiTheme="minorHAnsi" w:cstheme="minorHAnsi"/>
          <w:i/>
          <w:iCs/>
          <w:color w:val="000000"/>
          <w:sz w:val="20"/>
          <w:szCs w:val="20"/>
        </w:rPr>
        <w:t>”</w:t>
      </w:r>
      <w:r w:rsidRPr="001F4317">
        <w:rPr>
          <w:rFonts w:asciiTheme="minorHAnsi" w:hAnsiTheme="minorHAnsi" w:cstheme="minorHAnsi"/>
          <w:i/>
          <w:iCs/>
          <w:color w:val="000000"/>
          <w:sz w:val="20"/>
          <w:szCs w:val="20"/>
        </w:rPr>
        <w:t xml:space="preserve"> dirigidas a los profesionales del sector financiero</w:t>
      </w:r>
      <w:r w:rsidR="00C04F85" w:rsidRPr="001F4317">
        <w:rPr>
          <w:rFonts w:asciiTheme="minorHAnsi" w:hAnsiTheme="minorHAnsi" w:cstheme="minorHAnsi"/>
          <w:color w:val="000000"/>
          <w:sz w:val="20"/>
          <w:szCs w:val="20"/>
        </w:rPr>
        <w:t xml:space="preserve">, </w:t>
      </w:r>
      <w:r w:rsidRPr="001F4317">
        <w:rPr>
          <w:rFonts w:asciiTheme="minorHAnsi" w:hAnsiTheme="minorHAnsi" w:cstheme="minorHAnsi"/>
          <w:color w:val="000000"/>
          <w:sz w:val="20"/>
          <w:szCs w:val="20"/>
        </w:rPr>
        <w:t>8 de febrero de 2018</w:t>
      </w:r>
      <w:r w:rsidR="00C04F85" w:rsidRPr="001F4317">
        <w:rPr>
          <w:rFonts w:asciiTheme="minorHAnsi" w:hAnsiTheme="minorHAnsi" w:cstheme="minorHAnsi"/>
          <w:color w:val="000000"/>
          <w:sz w:val="20"/>
          <w:szCs w:val="20"/>
        </w:rPr>
        <w:t>, pg. 2</w:t>
      </w:r>
      <w:r w:rsidRPr="001F4317">
        <w:rPr>
          <w:rFonts w:asciiTheme="minorHAnsi" w:hAnsiTheme="minorHAnsi" w:cstheme="minorHAnsi"/>
          <w:color w:val="000000"/>
          <w:sz w:val="20"/>
          <w:szCs w:val="20"/>
        </w:rPr>
        <w:t>.</w:t>
      </w:r>
    </w:p>
  </w:footnote>
  <w:footnote w:id="60">
    <w:p w14:paraId="13316391" w14:textId="680D01FA" w:rsidR="000F4D2A" w:rsidRPr="001F4317" w:rsidRDefault="000F4D2A" w:rsidP="001F4317">
      <w:pPr>
        <w:pBdr>
          <w:top w:val="nil"/>
          <w:left w:val="nil"/>
          <w:bottom w:val="nil"/>
          <w:right w:val="nil"/>
          <w:between w:val="nil"/>
        </w:pBdr>
        <w:spacing w:after="0" w:line="240" w:lineRule="auto"/>
        <w:ind w:firstLine="0"/>
        <w:rPr>
          <w:rFonts w:asciiTheme="minorHAnsi" w:hAnsiTheme="minorHAnsi" w:cstheme="minorHAnsi"/>
          <w:color w:val="000000"/>
          <w:sz w:val="20"/>
          <w:szCs w:val="20"/>
        </w:rPr>
      </w:pPr>
      <w:r w:rsidRPr="001F4317">
        <w:rPr>
          <w:rFonts w:asciiTheme="minorHAnsi" w:hAnsiTheme="minorHAnsi" w:cstheme="minorHAnsi"/>
          <w:sz w:val="20"/>
          <w:szCs w:val="20"/>
          <w:vertAlign w:val="superscript"/>
        </w:rPr>
        <w:footnoteRef/>
      </w:r>
      <w:r w:rsidRPr="001F4317">
        <w:rPr>
          <w:rFonts w:asciiTheme="minorHAnsi" w:hAnsiTheme="minorHAnsi" w:cstheme="minorHAnsi"/>
          <w:color w:val="000000"/>
          <w:sz w:val="20"/>
          <w:szCs w:val="20"/>
        </w:rPr>
        <w:t xml:space="preserve"> CNMV, </w:t>
      </w:r>
      <w:r w:rsidR="00C04F85" w:rsidRPr="001F4317">
        <w:rPr>
          <w:rFonts w:asciiTheme="minorHAnsi" w:hAnsiTheme="minorHAnsi" w:cstheme="minorHAnsi"/>
          <w:i/>
          <w:iCs/>
          <w:color w:val="000000"/>
          <w:sz w:val="20"/>
          <w:szCs w:val="20"/>
        </w:rPr>
        <w:t>Consideraciones de la CNMV sobre “criptomonedas” e “</w:t>
      </w:r>
      <w:proofErr w:type="spellStart"/>
      <w:r w:rsidR="00C04F85" w:rsidRPr="001F4317">
        <w:rPr>
          <w:rFonts w:asciiTheme="minorHAnsi" w:hAnsiTheme="minorHAnsi" w:cstheme="minorHAnsi"/>
          <w:i/>
          <w:iCs/>
          <w:color w:val="000000"/>
          <w:sz w:val="20"/>
          <w:szCs w:val="20"/>
        </w:rPr>
        <w:t>ICOs</w:t>
      </w:r>
      <w:proofErr w:type="spellEnd"/>
      <w:r w:rsidR="00C04F85" w:rsidRPr="001F4317">
        <w:rPr>
          <w:rFonts w:asciiTheme="minorHAnsi" w:hAnsiTheme="minorHAnsi" w:cstheme="minorHAnsi"/>
          <w:i/>
          <w:iCs/>
          <w:color w:val="000000"/>
          <w:sz w:val="20"/>
          <w:szCs w:val="20"/>
        </w:rPr>
        <w:t>” dirigidas a los profesionales del sector financiero</w:t>
      </w:r>
      <w:r w:rsidR="00C04F85" w:rsidRPr="001F4317">
        <w:rPr>
          <w:rFonts w:asciiTheme="minorHAnsi" w:hAnsiTheme="minorHAnsi" w:cstheme="minorHAnsi"/>
          <w:color w:val="000000"/>
          <w:sz w:val="20"/>
          <w:szCs w:val="20"/>
        </w:rPr>
        <w:t>, pg. 2</w:t>
      </w:r>
      <w:r w:rsidRPr="001F4317">
        <w:rPr>
          <w:rFonts w:asciiTheme="minorHAnsi" w:hAnsiTheme="minorHAnsi" w:cstheme="minorHAnsi"/>
          <w:color w:val="000000"/>
          <w:sz w:val="20"/>
          <w:szCs w:val="20"/>
        </w:rPr>
        <w:t>.</w:t>
      </w:r>
    </w:p>
  </w:footnote>
  <w:footnote w:id="61">
    <w:p w14:paraId="0F74C57E" w14:textId="350008CD" w:rsidR="000F4D2A" w:rsidRPr="001F4317" w:rsidRDefault="000F4D2A" w:rsidP="001F4317">
      <w:pPr>
        <w:pBdr>
          <w:top w:val="nil"/>
          <w:left w:val="nil"/>
          <w:bottom w:val="nil"/>
          <w:right w:val="nil"/>
          <w:between w:val="nil"/>
        </w:pBdr>
        <w:spacing w:after="0" w:line="240" w:lineRule="auto"/>
        <w:ind w:firstLine="0"/>
        <w:rPr>
          <w:rFonts w:asciiTheme="minorHAnsi" w:hAnsiTheme="minorHAnsi" w:cstheme="minorHAnsi"/>
          <w:color w:val="000000"/>
          <w:sz w:val="20"/>
          <w:szCs w:val="20"/>
        </w:rPr>
      </w:pPr>
      <w:r w:rsidRPr="001F4317">
        <w:rPr>
          <w:rFonts w:asciiTheme="minorHAnsi" w:hAnsiTheme="minorHAnsi" w:cstheme="minorHAnsi"/>
          <w:sz w:val="20"/>
          <w:szCs w:val="20"/>
          <w:vertAlign w:val="superscript"/>
        </w:rPr>
        <w:footnoteRef/>
      </w:r>
      <w:r w:rsidRPr="001F4317">
        <w:rPr>
          <w:rFonts w:asciiTheme="minorHAnsi" w:hAnsiTheme="minorHAnsi" w:cstheme="minorHAnsi"/>
          <w:color w:val="000000"/>
          <w:sz w:val="20"/>
          <w:szCs w:val="20"/>
        </w:rPr>
        <w:t xml:space="preserve"> Cfr. </w:t>
      </w:r>
      <w:r w:rsidRPr="001F4317">
        <w:rPr>
          <w:rFonts w:asciiTheme="minorHAnsi" w:hAnsiTheme="minorHAnsi" w:cstheme="minorHAnsi"/>
          <w:smallCaps/>
          <w:color w:val="000000"/>
          <w:sz w:val="20"/>
          <w:szCs w:val="20"/>
        </w:rPr>
        <w:t>Pacheco Jiménez</w:t>
      </w:r>
      <w:r w:rsidRPr="001F4317">
        <w:rPr>
          <w:rFonts w:asciiTheme="minorHAnsi" w:hAnsiTheme="minorHAnsi" w:cstheme="minorHAnsi"/>
          <w:color w:val="000000"/>
          <w:sz w:val="20"/>
          <w:szCs w:val="20"/>
        </w:rPr>
        <w:t>, “De la tecnología blockchain a la economía del token”, pg. 74.</w:t>
      </w:r>
    </w:p>
  </w:footnote>
  <w:footnote w:id="62">
    <w:p w14:paraId="20462CC0" w14:textId="14AC509F" w:rsidR="00F62EB9" w:rsidRPr="001F4317" w:rsidRDefault="00F62EB9"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r w:rsidR="001D01EB" w:rsidRPr="001F4317">
        <w:rPr>
          <w:rFonts w:asciiTheme="minorHAnsi" w:hAnsiTheme="minorHAnsi" w:cstheme="minorHAnsi"/>
          <w:szCs w:val="20"/>
        </w:rPr>
        <w:t xml:space="preserve">Cfr. </w:t>
      </w:r>
      <w:r w:rsidRPr="001F4317">
        <w:rPr>
          <w:rFonts w:asciiTheme="minorHAnsi" w:hAnsiTheme="minorHAnsi" w:cstheme="minorHAnsi"/>
          <w:smallCaps/>
          <w:szCs w:val="20"/>
        </w:rPr>
        <w:t>Sánchez Gil</w:t>
      </w:r>
      <w:r w:rsidRPr="001F4317">
        <w:rPr>
          <w:rFonts w:asciiTheme="minorHAnsi" w:hAnsiTheme="minorHAnsi" w:cstheme="minorHAnsi"/>
          <w:szCs w:val="20"/>
        </w:rPr>
        <w:t>, “¿Tokens como valores negociables? La aplicabilidad del marco europeo del sector financiero a los criptoactivos”, pg. 106.</w:t>
      </w:r>
      <w:r w:rsidR="00E2390F" w:rsidRPr="001F4317">
        <w:rPr>
          <w:rFonts w:asciiTheme="minorHAnsi" w:hAnsiTheme="minorHAnsi" w:cstheme="minorHAnsi"/>
          <w:szCs w:val="20"/>
        </w:rPr>
        <w:t xml:space="preserve"> En sentido parecido, cfr. </w:t>
      </w:r>
      <w:bookmarkStart w:id="40" w:name="_Hlk172567014"/>
      <w:r w:rsidR="00E2390F" w:rsidRPr="001F4317">
        <w:rPr>
          <w:rFonts w:asciiTheme="minorHAnsi" w:hAnsiTheme="minorHAnsi" w:cstheme="minorHAnsi"/>
          <w:smallCaps/>
          <w:szCs w:val="20"/>
        </w:rPr>
        <w:t>Recalde Castells</w:t>
      </w:r>
      <w:r w:rsidR="00E2390F" w:rsidRPr="001F4317">
        <w:rPr>
          <w:rFonts w:asciiTheme="minorHAnsi" w:hAnsiTheme="minorHAnsi" w:cstheme="minorHAnsi"/>
          <w:szCs w:val="20"/>
        </w:rPr>
        <w:t xml:space="preserve">, </w:t>
      </w:r>
      <w:r w:rsidR="00A46600" w:rsidRPr="001F4317">
        <w:rPr>
          <w:rFonts w:asciiTheme="minorHAnsi" w:hAnsiTheme="minorHAnsi" w:cstheme="minorHAnsi"/>
          <w:szCs w:val="20"/>
        </w:rPr>
        <w:t xml:space="preserve">Andrés, </w:t>
      </w:r>
      <w:r w:rsidR="00E2390F" w:rsidRPr="001F4317">
        <w:rPr>
          <w:rFonts w:asciiTheme="minorHAnsi" w:hAnsiTheme="minorHAnsi" w:cstheme="minorHAnsi"/>
          <w:szCs w:val="20"/>
        </w:rPr>
        <w:t xml:space="preserve">“Tokens financieros: ¿cuándo importa el «soporte»?”, </w:t>
      </w:r>
      <w:r w:rsidR="00E2390F" w:rsidRPr="001F4317">
        <w:rPr>
          <w:rFonts w:asciiTheme="minorHAnsi" w:hAnsiTheme="minorHAnsi" w:cstheme="minorHAnsi"/>
          <w:i/>
          <w:iCs/>
          <w:szCs w:val="20"/>
        </w:rPr>
        <w:t>Revista de Derecho del Sistema Financiero</w:t>
      </w:r>
      <w:r w:rsidR="00E2390F" w:rsidRPr="001F4317">
        <w:rPr>
          <w:rFonts w:asciiTheme="minorHAnsi" w:hAnsiTheme="minorHAnsi" w:cstheme="minorHAnsi"/>
          <w:szCs w:val="20"/>
        </w:rPr>
        <w:t>, núm. 7, 2024</w:t>
      </w:r>
      <w:bookmarkEnd w:id="40"/>
      <w:r w:rsidR="00E2390F" w:rsidRPr="001F4317">
        <w:rPr>
          <w:rFonts w:asciiTheme="minorHAnsi" w:hAnsiTheme="minorHAnsi" w:cstheme="minorHAnsi"/>
          <w:szCs w:val="20"/>
        </w:rPr>
        <w:t>, Documento Electrónico Aranzadi BIB 2024\465, pg. 24.</w:t>
      </w:r>
    </w:p>
  </w:footnote>
  <w:footnote w:id="63">
    <w:p w14:paraId="628FE8EC" w14:textId="2F3F222B" w:rsidR="000F4D2A" w:rsidRPr="001F4317" w:rsidRDefault="000F4D2A" w:rsidP="001F4317">
      <w:pPr>
        <w:pBdr>
          <w:top w:val="nil"/>
          <w:left w:val="nil"/>
          <w:bottom w:val="nil"/>
          <w:right w:val="nil"/>
          <w:between w:val="nil"/>
        </w:pBdr>
        <w:spacing w:after="0" w:line="240" w:lineRule="auto"/>
        <w:ind w:firstLine="0"/>
        <w:rPr>
          <w:rFonts w:asciiTheme="minorHAnsi" w:hAnsiTheme="minorHAnsi" w:cstheme="minorHAnsi"/>
          <w:bCs/>
          <w:color w:val="000000"/>
          <w:sz w:val="20"/>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 w:val="20"/>
          <w:szCs w:val="20"/>
        </w:rPr>
        <w:t xml:space="preserve"> </w:t>
      </w:r>
      <w:r w:rsidRPr="001F4317">
        <w:rPr>
          <w:rFonts w:asciiTheme="minorHAnsi" w:hAnsiTheme="minorHAnsi" w:cstheme="minorHAnsi"/>
          <w:bCs/>
          <w:color w:val="000000"/>
          <w:sz w:val="20"/>
          <w:szCs w:val="20"/>
        </w:rPr>
        <w:t xml:space="preserve">El Real Decreto Legislativo 4/2015, de 23 de octubre, por el que se aprueba el </w:t>
      </w:r>
      <w:r w:rsidR="00482005" w:rsidRPr="001F4317">
        <w:rPr>
          <w:rFonts w:asciiTheme="minorHAnsi" w:hAnsiTheme="minorHAnsi" w:cstheme="minorHAnsi"/>
          <w:bCs/>
          <w:color w:val="000000"/>
          <w:sz w:val="20"/>
          <w:szCs w:val="20"/>
        </w:rPr>
        <w:t xml:space="preserve">Texto Refundido </w:t>
      </w:r>
      <w:r w:rsidRPr="001F4317">
        <w:rPr>
          <w:rFonts w:asciiTheme="minorHAnsi" w:hAnsiTheme="minorHAnsi" w:cstheme="minorHAnsi"/>
          <w:bCs/>
          <w:color w:val="000000"/>
          <w:sz w:val="20"/>
          <w:szCs w:val="20"/>
        </w:rPr>
        <w:t>de la Ley del Mercado de Valores fue modifica</w:t>
      </w:r>
      <w:r w:rsidR="003E7A78" w:rsidRPr="001F4317">
        <w:rPr>
          <w:rFonts w:asciiTheme="minorHAnsi" w:hAnsiTheme="minorHAnsi" w:cstheme="minorHAnsi"/>
          <w:bCs/>
          <w:color w:val="000000"/>
          <w:sz w:val="20"/>
          <w:szCs w:val="20"/>
        </w:rPr>
        <w:t>do</w:t>
      </w:r>
      <w:r w:rsidRPr="001F4317">
        <w:rPr>
          <w:rFonts w:asciiTheme="minorHAnsi" w:hAnsiTheme="minorHAnsi" w:cstheme="minorHAnsi"/>
          <w:bCs/>
          <w:color w:val="000000"/>
          <w:sz w:val="20"/>
          <w:szCs w:val="20"/>
        </w:rPr>
        <w:t xml:space="preserve"> por </w:t>
      </w:r>
      <w:r w:rsidR="003E7A78" w:rsidRPr="001F4317">
        <w:rPr>
          <w:rFonts w:asciiTheme="minorHAnsi" w:hAnsiTheme="minorHAnsi" w:cstheme="minorHAnsi"/>
          <w:bCs/>
          <w:color w:val="000000"/>
          <w:sz w:val="20"/>
          <w:szCs w:val="20"/>
        </w:rPr>
        <w:t>la</w:t>
      </w:r>
      <w:r w:rsidRPr="001F4317">
        <w:rPr>
          <w:rFonts w:asciiTheme="minorHAnsi" w:hAnsiTheme="minorHAnsi" w:cstheme="minorHAnsi"/>
          <w:bCs/>
          <w:color w:val="000000"/>
          <w:sz w:val="20"/>
          <w:szCs w:val="20"/>
        </w:rPr>
        <w:t xml:space="preserve"> Ley 5/2021, de 12 de abril que alteró la redacción del artículo 35 TRLMV.</w:t>
      </w:r>
      <w:r w:rsidR="00BB74A2" w:rsidRPr="001F4317">
        <w:rPr>
          <w:rFonts w:asciiTheme="minorHAnsi" w:hAnsiTheme="minorHAnsi" w:cstheme="minorHAnsi"/>
          <w:bCs/>
          <w:color w:val="000000"/>
          <w:sz w:val="20"/>
          <w:szCs w:val="20"/>
        </w:rPr>
        <w:t xml:space="preserve"> Con posterioridad, fue derogado por la Ley 6/2023, de 17 de marzo, de los Mercados de Valores y de los Servicios de Inversión</w:t>
      </w:r>
      <w:r w:rsidR="00374D16" w:rsidRPr="001F4317">
        <w:rPr>
          <w:rFonts w:asciiTheme="minorHAnsi" w:hAnsiTheme="minorHAnsi" w:cstheme="minorHAnsi"/>
          <w:bCs/>
          <w:color w:val="000000"/>
          <w:sz w:val="20"/>
          <w:szCs w:val="20"/>
        </w:rPr>
        <w:t xml:space="preserve"> que recoge, en su artículo 36.1, esta misma excepción</w:t>
      </w:r>
      <w:r w:rsidR="00BB74A2" w:rsidRPr="001F4317">
        <w:rPr>
          <w:rFonts w:asciiTheme="minorHAnsi" w:hAnsiTheme="minorHAnsi" w:cstheme="minorHAnsi"/>
          <w:bCs/>
          <w:color w:val="000000"/>
          <w:sz w:val="20"/>
          <w:szCs w:val="20"/>
        </w:rPr>
        <w:t>.</w:t>
      </w:r>
    </w:p>
  </w:footnote>
  <w:footnote w:id="64">
    <w:p w14:paraId="560B9CCA" w14:textId="118C321B" w:rsidR="00660B42" w:rsidRPr="001F4317" w:rsidRDefault="00660B42"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La reforma operada por la Ley 5/2021, de 12 de abril elevó el mínimo legal de cinco a ocho millones.</w:t>
      </w:r>
    </w:p>
  </w:footnote>
  <w:footnote w:id="65">
    <w:p w14:paraId="2740D4D0" w14:textId="4595713B" w:rsidR="002B6477" w:rsidRPr="001F4317" w:rsidRDefault="002B6477"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r w:rsidR="003C018B" w:rsidRPr="001F4317">
        <w:rPr>
          <w:rFonts w:asciiTheme="minorHAnsi" w:hAnsiTheme="minorHAnsi" w:cstheme="minorHAnsi"/>
          <w:szCs w:val="20"/>
        </w:rPr>
        <w:t xml:space="preserve">Esta información deberá ser clara, imparcial y no engañosa, abarcando las características y riesgos de los valores emitidos, así como la situación jurídica y económico-financiera del emisor. </w:t>
      </w:r>
      <w:r w:rsidRPr="001F4317">
        <w:rPr>
          <w:rFonts w:asciiTheme="minorHAnsi" w:hAnsiTheme="minorHAnsi" w:cstheme="minorHAnsi"/>
          <w:szCs w:val="20"/>
        </w:rPr>
        <w:t xml:space="preserve">Cfr. CNMV, </w:t>
      </w:r>
      <w:r w:rsidRPr="001F4317">
        <w:rPr>
          <w:rFonts w:asciiTheme="minorHAnsi" w:hAnsiTheme="minorHAnsi" w:cstheme="minorHAnsi"/>
          <w:i/>
          <w:iCs/>
          <w:szCs w:val="20"/>
        </w:rPr>
        <w:t>C</w:t>
      </w:r>
      <w:r w:rsidRPr="001F4317">
        <w:rPr>
          <w:rFonts w:asciiTheme="minorHAnsi" w:hAnsiTheme="minorHAnsi" w:cstheme="minorHAnsi"/>
          <w:i/>
          <w:iCs/>
          <w:szCs w:val="20"/>
          <w:lang w:eastAsia="es-ES_tradnl"/>
        </w:rPr>
        <w:t xml:space="preserve">riterios en relación con las </w:t>
      </w:r>
      <w:proofErr w:type="spellStart"/>
      <w:r w:rsidRPr="001F4317">
        <w:rPr>
          <w:rFonts w:asciiTheme="minorHAnsi" w:hAnsiTheme="minorHAnsi" w:cstheme="minorHAnsi"/>
          <w:i/>
          <w:iCs/>
          <w:szCs w:val="20"/>
          <w:lang w:eastAsia="es-ES_tradnl"/>
        </w:rPr>
        <w:t>ICOs</w:t>
      </w:r>
      <w:proofErr w:type="spellEnd"/>
      <w:r w:rsidR="00015BD3" w:rsidRPr="001F4317">
        <w:rPr>
          <w:rFonts w:asciiTheme="minorHAnsi" w:hAnsiTheme="minorHAnsi" w:cstheme="minorHAnsi"/>
          <w:szCs w:val="20"/>
          <w:lang w:eastAsia="es-ES_tradnl"/>
        </w:rPr>
        <w:t xml:space="preserve">, </w:t>
      </w:r>
      <w:r w:rsidRPr="001F4317">
        <w:rPr>
          <w:rFonts w:asciiTheme="minorHAnsi" w:hAnsiTheme="minorHAnsi" w:cstheme="minorHAnsi"/>
          <w:szCs w:val="20"/>
          <w:lang w:eastAsia="es-ES_tradnl"/>
        </w:rPr>
        <w:t>20 de septiembre de 2018</w:t>
      </w:r>
      <w:r w:rsidR="00015BD3" w:rsidRPr="001F4317">
        <w:rPr>
          <w:rFonts w:asciiTheme="minorHAnsi" w:hAnsiTheme="minorHAnsi" w:cstheme="minorHAnsi"/>
          <w:szCs w:val="20"/>
          <w:lang w:eastAsia="es-ES_tradnl"/>
        </w:rPr>
        <w:t>, pg. 2</w:t>
      </w:r>
      <w:r w:rsidRPr="001F4317">
        <w:rPr>
          <w:rFonts w:asciiTheme="minorHAnsi" w:hAnsiTheme="minorHAnsi" w:cstheme="minorHAnsi"/>
          <w:szCs w:val="20"/>
          <w:lang w:eastAsia="es-ES_tradnl"/>
        </w:rPr>
        <w:t>.</w:t>
      </w:r>
    </w:p>
  </w:footnote>
  <w:footnote w:id="66">
    <w:p w14:paraId="4650C383" w14:textId="6B38506D" w:rsidR="001927B0" w:rsidRPr="001F4317" w:rsidRDefault="001927B0"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En el presente apartado se aludirá, especialmente, al Real Decreto Legislativo 4/2015, de 23 de octubre, por el que se aprueba el Texto Refundido de la Ley del Mercado de Valores por ser la normativa vigente en el momento de publicación </w:t>
      </w:r>
      <w:r w:rsidR="003D2EDC" w:rsidRPr="001F4317">
        <w:rPr>
          <w:rFonts w:asciiTheme="minorHAnsi" w:hAnsiTheme="minorHAnsi" w:cstheme="minorHAnsi"/>
          <w:szCs w:val="20"/>
        </w:rPr>
        <w:t xml:space="preserve">por la CNMV </w:t>
      </w:r>
      <w:r w:rsidRPr="001F4317">
        <w:rPr>
          <w:rFonts w:asciiTheme="minorHAnsi" w:hAnsiTheme="minorHAnsi" w:cstheme="minorHAnsi"/>
          <w:szCs w:val="20"/>
        </w:rPr>
        <w:t xml:space="preserve">de las notas relativas a la asimilación </w:t>
      </w:r>
      <w:r w:rsidR="003D2EDC" w:rsidRPr="001F4317">
        <w:rPr>
          <w:rFonts w:asciiTheme="minorHAnsi" w:hAnsiTheme="minorHAnsi" w:cstheme="minorHAnsi"/>
          <w:szCs w:val="20"/>
        </w:rPr>
        <w:t>de</w:t>
      </w:r>
      <w:r w:rsidRPr="001F4317">
        <w:rPr>
          <w:rFonts w:asciiTheme="minorHAnsi" w:hAnsiTheme="minorHAnsi" w:cstheme="minorHAnsi"/>
          <w:szCs w:val="20"/>
        </w:rPr>
        <w:t xml:space="preserve"> los </w:t>
      </w:r>
      <w:proofErr w:type="spellStart"/>
      <w:r w:rsidRPr="001F4317">
        <w:rPr>
          <w:rFonts w:asciiTheme="minorHAnsi" w:hAnsiTheme="minorHAnsi" w:cstheme="minorHAnsi"/>
          <w:i/>
          <w:iCs/>
          <w:szCs w:val="20"/>
        </w:rPr>
        <w:t>security</w:t>
      </w:r>
      <w:proofErr w:type="spellEnd"/>
      <w:r w:rsidRPr="001F4317">
        <w:rPr>
          <w:rFonts w:asciiTheme="minorHAnsi" w:hAnsiTheme="minorHAnsi" w:cstheme="minorHAnsi"/>
          <w:i/>
          <w:iCs/>
          <w:szCs w:val="20"/>
        </w:rPr>
        <w:t xml:space="preserve"> tokens</w:t>
      </w:r>
      <w:r w:rsidRPr="001F4317">
        <w:rPr>
          <w:rFonts w:asciiTheme="minorHAnsi" w:hAnsiTheme="minorHAnsi" w:cstheme="minorHAnsi"/>
          <w:szCs w:val="20"/>
        </w:rPr>
        <w:t xml:space="preserve"> y los valores negociales.</w:t>
      </w:r>
      <w:r w:rsidR="00D33FA0" w:rsidRPr="001F4317">
        <w:rPr>
          <w:rFonts w:asciiTheme="minorHAnsi" w:hAnsiTheme="minorHAnsi" w:cstheme="minorHAnsi"/>
          <w:szCs w:val="20"/>
        </w:rPr>
        <w:t xml:space="preserve"> En el apartado 6.4 de este trabajo se analizarán las cuestiones fundamentales de la Ley 6/2023, de 17 de marzo, de los Mercados de Valores y de los Servicios de Inversión.</w:t>
      </w:r>
    </w:p>
  </w:footnote>
  <w:footnote w:id="67">
    <w:p w14:paraId="373AAEBF" w14:textId="476337BA"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CNMV, </w:t>
      </w:r>
      <w:r w:rsidRPr="001F4317">
        <w:rPr>
          <w:rFonts w:asciiTheme="minorHAnsi" w:hAnsiTheme="minorHAnsi" w:cstheme="minorHAnsi"/>
          <w:i/>
          <w:iCs/>
          <w:szCs w:val="20"/>
        </w:rPr>
        <w:t>Preguntas y Respuestas frecuentes sobre los Instrumentos Financieros basados en Tecnologías de Registros Distribuidos</w:t>
      </w:r>
      <w:r w:rsidRPr="001F4317">
        <w:rPr>
          <w:rFonts w:asciiTheme="minorHAnsi" w:hAnsiTheme="minorHAnsi" w:cstheme="minorHAnsi"/>
          <w:szCs w:val="20"/>
        </w:rPr>
        <w:t>,</w:t>
      </w:r>
      <w:r w:rsidRPr="001F4317">
        <w:rPr>
          <w:rFonts w:asciiTheme="minorHAnsi" w:hAnsiTheme="minorHAnsi" w:cstheme="minorHAnsi"/>
          <w:i/>
          <w:iCs/>
          <w:szCs w:val="20"/>
        </w:rPr>
        <w:t xml:space="preserve"> </w:t>
      </w:r>
      <w:r w:rsidRPr="001F4317">
        <w:rPr>
          <w:rFonts w:asciiTheme="minorHAnsi" w:hAnsiTheme="minorHAnsi" w:cstheme="minorHAnsi"/>
          <w:szCs w:val="20"/>
        </w:rPr>
        <w:t>29 de mayo de 2024</w:t>
      </w:r>
      <w:r w:rsidR="00437F3D" w:rsidRPr="001F4317">
        <w:rPr>
          <w:rFonts w:asciiTheme="minorHAnsi" w:hAnsiTheme="minorHAnsi" w:cstheme="minorHAnsi"/>
          <w:szCs w:val="20"/>
        </w:rPr>
        <w:t>.</w:t>
      </w:r>
    </w:p>
  </w:footnote>
  <w:footnote w:id="68">
    <w:p w14:paraId="4C486B94" w14:textId="2DB41086" w:rsidR="003F0EA5" w:rsidRPr="001F4317" w:rsidRDefault="003F0EA5"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En este punto, no se aprecian diferencias significativas entre el Real Decreto Legislativo 4/2015 y la Ley 6/2023.</w:t>
      </w:r>
    </w:p>
  </w:footnote>
  <w:footnote w:id="69">
    <w:p w14:paraId="21376F55" w14:textId="586D57A1"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r w:rsidR="00FD5707" w:rsidRPr="001F4317">
        <w:rPr>
          <w:rFonts w:asciiTheme="minorHAnsi" w:hAnsiTheme="minorHAnsi" w:cstheme="minorHAnsi"/>
          <w:szCs w:val="20"/>
        </w:rPr>
        <w:t xml:space="preserve">Cfr. </w:t>
      </w:r>
      <w:r w:rsidRPr="001F4317">
        <w:rPr>
          <w:rFonts w:asciiTheme="minorHAnsi" w:hAnsiTheme="minorHAnsi" w:cstheme="minorHAnsi"/>
          <w:smallCaps/>
          <w:szCs w:val="20"/>
        </w:rPr>
        <w:t>Sánchez Gil</w:t>
      </w:r>
      <w:r w:rsidRPr="001F4317">
        <w:rPr>
          <w:rFonts w:asciiTheme="minorHAnsi" w:hAnsiTheme="minorHAnsi" w:cstheme="minorHAnsi"/>
          <w:szCs w:val="20"/>
        </w:rPr>
        <w:t>, “¿Tokens como valores negociables? La aplicabilidad del marco europeo del sector financiero a los criptoactivos”, pgs. 97-98.</w:t>
      </w:r>
    </w:p>
  </w:footnote>
  <w:footnote w:id="70">
    <w:p w14:paraId="5E0F29DE" w14:textId="01E74CAC"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w:t>
      </w:r>
      <w:r w:rsidRPr="001F4317">
        <w:rPr>
          <w:rFonts w:asciiTheme="minorHAnsi" w:hAnsiTheme="minorHAnsi" w:cstheme="minorHAnsi"/>
          <w:color w:val="000000"/>
          <w:szCs w:val="20"/>
        </w:rPr>
        <w:t xml:space="preserve"> </w:t>
      </w:r>
      <w:bookmarkStart w:id="42" w:name="_Hlk172567056"/>
      <w:r w:rsidRPr="001F4317">
        <w:rPr>
          <w:rFonts w:asciiTheme="minorHAnsi" w:hAnsiTheme="minorHAnsi" w:cstheme="minorHAnsi"/>
          <w:smallCaps/>
          <w:szCs w:val="20"/>
        </w:rPr>
        <w:t>Madrid Parra</w:t>
      </w:r>
      <w:r w:rsidRPr="001F4317">
        <w:rPr>
          <w:rFonts w:asciiTheme="minorHAnsi" w:hAnsiTheme="minorHAnsi" w:cstheme="minorHAnsi"/>
          <w:szCs w:val="20"/>
        </w:rPr>
        <w:t xml:space="preserve">, </w:t>
      </w:r>
      <w:r w:rsidR="00A46600" w:rsidRPr="001F4317">
        <w:rPr>
          <w:rFonts w:asciiTheme="minorHAnsi" w:hAnsiTheme="minorHAnsi" w:cstheme="minorHAnsi"/>
          <w:szCs w:val="20"/>
        </w:rPr>
        <w:t xml:space="preserve">Agustín, </w:t>
      </w:r>
      <w:r w:rsidRPr="001F4317">
        <w:rPr>
          <w:rFonts w:asciiTheme="minorHAnsi" w:hAnsiTheme="minorHAnsi" w:cstheme="minorHAnsi"/>
          <w:szCs w:val="20"/>
        </w:rPr>
        <w:t xml:space="preserve">“Del valor anotado al «tokenizado»”, </w:t>
      </w:r>
      <w:r w:rsidRPr="001F4317">
        <w:rPr>
          <w:rFonts w:asciiTheme="minorHAnsi" w:hAnsiTheme="minorHAnsi" w:cstheme="minorHAnsi"/>
          <w:i/>
          <w:iCs/>
          <w:szCs w:val="20"/>
        </w:rPr>
        <w:t>Revista de Derecho del Sistema Financiero</w:t>
      </w:r>
      <w:r w:rsidRPr="001F4317">
        <w:rPr>
          <w:rFonts w:asciiTheme="minorHAnsi" w:hAnsiTheme="minorHAnsi" w:cstheme="minorHAnsi"/>
          <w:szCs w:val="20"/>
        </w:rPr>
        <w:t>, núm. 3, 2022</w:t>
      </w:r>
      <w:bookmarkEnd w:id="42"/>
      <w:r w:rsidRPr="001F4317">
        <w:rPr>
          <w:rFonts w:asciiTheme="minorHAnsi" w:hAnsiTheme="minorHAnsi" w:cstheme="minorHAnsi"/>
          <w:szCs w:val="20"/>
        </w:rPr>
        <w:t xml:space="preserve">, pgs. 91-93. Con algunos matices por el imposible encaje legal, cfr. </w:t>
      </w:r>
      <w:bookmarkStart w:id="43" w:name="_Hlk172567065"/>
      <w:r w:rsidRPr="001F4317">
        <w:rPr>
          <w:rFonts w:asciiTheme="minorHAnsi" w:hAnsiTheme="minorHAnsi" w:cstheme="minorHAnsi"/>
          <w:smallCaps/>
          <w:color w:val="000000"/>
          <w:szCs w:val="20"/>
        </w:rPr>
        <w:t>Nasarre Aznar,</w:t>
      </w:r>
      <w:r w:rsidRPr="001F4317">
        <w:rPr>
          <w:rFonts w:asciiTheme="minorHAnsi" w:hAnsiTheme="minorHAnsi" w:cstheme="minorHAnsi"/>
          <w:color w:val="000000"/>
          <w:szCs w:val="20"/>
        </w:rPr>
        <w:t xml:space="preserve"> Sergio, “Naturaleza jurídica y régimen civil de los tokens en blockchain”, en </w:t>
      </w:r>
      <w:r w:rsidRPr="001F4317">
        <w:rPr>
          <w:rFonts w:asciiTheme="minorHAnsi" w:hAnsiTheme="minorHAnsi" w:cstheme="minorHAnsi"/>
          <w:smallCaps/>
          <w:color w:val="000000"/>
          <w:szCs w:val="20"/>
        </w:rPr>
        <w:t xml:space="preserve">García Teruel, </w:t>
      </w:r>
      <w:r w:rsidRPr="001F4317">
        <w:rPr>
          <w:rFonts w:asciiTheme="minorHAnsi" w:hAnsiTheme="minorHAnsi" w:cstheme="minorHAnsi"/>
          <w:color w:val="000000"/>
          <w:szCs w:val="20"/>
        </w:rPr>
        <w:t xml:space="preserve">Rosa María (coord.), </w:t>
      </w:r>
      <w:r w:rsidRPr="001F4317">
        <w:rPr>
          <w:rFonts w:asciiTheme="minorHAnsi" w:hAnsiTheme="minorHAnsi" w:cstheme="minorHAnsi"/>
          <w:i/>
          <w:color w:val="000000"/>
          <w:szCs w:val="20"/>
        </w:rPr>
        <w:t>La tokenización de bienes en blockchain</w:t>
      </w:r>
      <w:r w:rsidRPr="001F4317">
        <w:rPr>
          <w:rFonts w:asciiTheme="minorHAnsi" w:hAnsiTheme="minorHAnsi" w:cstheme="minorHAnsi"/>
          <w:color w:val="000000"/>
          <w:szCs w:val="20"/>
        </w:rPr>
        <w:t>, Thomson Reuters Aranzadi, Cizur Menor, 2020</w:t>
      </w:r>
      <w:bookmarkEnd w:id="43"/>
      <w:r w:rsidRPr="001F4317">
        <w:rPr>
          <w:rFonts w:asciiTheme="minorHAnsi" w:hAnsiTheme="minorHAnsi" w:cstheme="minorHAnsi"/>
          <w:color w:val="000000"/>
          <w:szCs w:val="20"/>
        </w:rPr>
        <w:t>, pgs. 87-88.</w:t>
      </w:r>
    </w:p>
  </w:footnote>
  <w:footnote w:id="71">
    <w:p w14:paraId="4C9DED89" w14:textId="77CA8566" w:rsidR="000F4D2A" w:rsidRPr="001F4317" w:rsidRDefault="000F4D2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r w:rsidR="00C857A8" w:rsidRPr="001F4317">
        <w:rPr>
          <w:rFonts w:asciiTheme="minorHAnsi" w:hAnsiTheme="minorHAnsi" w:cstheme="minorHAnsi"/>
          <w:szCs w:val="20"/>
        </w:rPr>
        <w:t xml:space="preserve">Cfr. </w:t>
      </w:r>
      <w:r w:rsidRPr="001F4317">
        <w:rPr>
          <w:rFonts w:asciiTheme="minorHAnsi" w:hAnsiTheme="minorHAnsi" w:cstheme="minorHAnsi"/>
          <w:smallCaps/>
          <w:szCs w:val="20"/>
        </w:rPr>
        <w:t>Sánchez Gil</w:t>
      </w:r>
      <w:r w:rsidRPr="001F4317">
        <w:rPr>
          <w:rFonts w:asciiTheme="minorHAnsi" w:hAnsiTheme="minorHAnsi" w:cstheme="minorHAnsi"/>
          <w:szCs w:val="20"/>
        </w:rPr>
        <w:t>, “¿Tokens como valores negociables? La aplicabilidad del marco europeo del sector financiero a los criptoactivos”, pg. 100.</w:t>
      </w:r>
    </w:p>
  </w:footnote>
  <w:footnote w:id="72">
    <w:p w14:paraId="1BC3939D" w14:textId="7B483701" w:rsidR="00A740C3" w:rsidRPr="001F4317" w:rsidRDefault="00A740C3"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CNMV, </w:t>
      </w:r>
      <w:r w:rsidRPr="001F4317">
        <w:rPr>
          <w:rFonts w:asciiTheme="minorHAnsi" w:hAnsiTheme="minorHAnsi" w:cstheme="minorHAnsi"/>
          <w:i/>
          <w:iCs/>
          <w:szCs w:val="20"/>
        </w:rPr>
        <w:t>C</w:t>
      </w:r>
      <w:r w:rsidRPr="001F4317">
        <w:rPr>
          <w:rFonts w:asciiTheme="minorHAnsi" w:hAnsiTheme="minorHAnsi" w:cstheme="minorHAnsi"/>
          <w:i/>
          <w:iCs/>
          <w:szCs w:val="20"/>
          <w:lang w:eastAsia="es-ES_tradnl"/>
        </w:rPr>
        <w:t xml:space="preserve">riterios en relación con las </w:t>
      </w:r>
      <w:proofErr w:type="spellStart"/>
      <w:r w:rsidRPr="001F4317">
        <w:rPr>
          <w:rFonts w:asciiTheme="minorHAnsi" w:hAnsiTheme="minorHAnsi" w:cstheme="minorHAnsi"/>
          <w:i/>
          <w:iCs/>
          <w:szCs w:val="20"/>
          <w:lang w:eastAsia="es-ES_tradnl"/>
        </w:rPr>
        <w:t>ICOs</w:t>
      </w:r>
      <w:proofErr w:type="spellEnd"/>
      <w:r w:rsidR="00AF7D77" w:rsidRPr="001F4317">
        <w:rPr>
          <w:rFonts w:asciiTheme="minorHAnsi" w:hAnsiTheme="minorHAnsi" w:cstheme="minorHAnsi"/>
          <w:szCs w:val="20"/>
          <w:lang w:eastAsia="es-ES_tradnl"/>
        </w:rPr>
        <w:t>, pg. 3.</w:t>
      </w:r>
    </w:p>
  </w:footnote>
  <w:footnote w:id="73">
    <w:p w14:paraId="3902AC27" w14:textId="660E9252" w:rsidR="00A740C3" w:rsidRPr="001F4317" w:rsidRDefault="00A740C3"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CNMV, </w:t>
      </w:r>
      <w:r w:rsidRPr="001F4317">
        <w:rPr>
          <w:rFonts w:asciiTheme="minorHAnsi" w:hAnsiTheme="minorHAnsi" w:cstheme="minorHAnsi"/>
          <w:i/>
          <w:iCs/>
          <w:szCs w:val="20"/>
        </w:rPr>
        <w:t>C</w:t>
      </w:r>
      <w:r w:rsidRPr="001F4317">
        <w:rPr>
          <w:rFonts w:asciiTheme="minorHAnsi" w:hAnsiTheme="minorHAnsi" w:cstheme="minorHAnsi"/>
          <w:i/>
          <w:iCs/>
          <w:szCs w:val="20"/>
          <w:lang w:eastAsia="es-ES_tradnl"/>
        </w:rPr>
        <w:t xml:space="preserve">riterios en relación con las </w:t>
      </w:r>
      <w:proofErr w:type="spellStart"/>
      <w:r w:rsidRPr="001F4317">
        <w:rPr>
          <w:rFonts w:asciiTheme="minorHAnsi" w:hAnsiTheme="minorHAnsi" w:cstheme="minorHAnsi"/>
          <w:i/>
          <w:iCs/>
          <w:szCs w:val="20"/>
          <w:lang w:eastAsia="es-ES_tradnl"/>
        </w:rPr>
        <w:t>ICOs</w:t>
      </w:r>
      <w:proofErr w:type="spellEnd"/>
      <w:r w:rsidR="00AF7D77" w:rsidRPr="001F4317">
        <w:rPr>
          <w:rFonts w:asciiTheme="minorHAnsi" w:hAnsiTheme="minorHAnsi" w:cstheme="minorHAnsi"/>
          <w:szCs w:val="20"/>
          <w:lang w:eastAsia="es-ES_tradnl"/>
        </w:rPr>
        <w:t>, pg</w:t>
      </w:r>
      <w:r w:rsidR="00273226" w:rsidRPr="001F4317">
        <w:rPr>
          <w:rFonts w:asciiTheme="minorHAnsi" w:hAnsiTheme="minorHAnsi" w:cstheme="minorHAnsi"/>
          <w:szCs w:val="20"/>
          <w:lang w:eastAsia="es-ES_tradnl"/>
        </w:rPr>
        <w:t>s</w:t>
      </w:r>
      <w:r w:rsidR="00AF7D77" w:rsidRPr="001F4317">
        <w:rPr>
          <w:rFonts w:asciiTheme="minorHAnsi" w:hAnsiTheme="minorHAnsi" w:cstheme="minorHAnsi"/>
          <w:szCs w:val="20"/>
          <w:lang w:eastAsia="es-ES_tradnl"/>
        </w:rPr>
        <w:t xml:space="preserve">. </w:t>
      </w:r>
      <w:r w:rsidR="00273226" w:rsidRPr="001F4317">
        <w:rPr>
          <w:rFonts w:asciiTheme="minorHAnsi" w:hAnsiTheme="minorHAnsi" w:cstheme="minorHAnsi"/>
          <w:szCs w:val="20"/>
          <w:lang w:eastAsia="es-ES_tradnl"/>
        </w:rPr>
        <w:t>3-</w:t>
      </w:r>
      <w:r w:rsidR="00AF7D77" w:rsidRPr="001F4317">
        <w:rPr>
          <w:rFonts w:asciiTheme="minorHAnsi" w:hAnsiTheme="minorHAnsi" w:cstheme="minorHAnsi"/>
          <w:szCs w:val="20"/>
          <w:lang w:eastAsia="es-ES_tradnl"/>
        </w:rPr>
        <w:t>4</w:t>
      </w:r>
      <w:r w:rsidRPr="001F4317">
        <w:rPr>
          <w:rFonts w:asciiTheme="minorHAnsi" w:hAnsiTheme="minorHAnsi" w:cstheme="minorHAnsi"/>
          <w:szCs w:val="20"/>
          <w:lang w:eastAsia="es-ES_tradnl"/>
        </w:rPr>
        <w:t>.</w:t>
      </w:r>
    </w:p>
  </w:footnote>
  <w:footnote w:id="74">
    <w:p w14:paraId="4340662E" w14:textId="795D937C" w:rsidR="00386010" w:rsidRPr="001F4317" w:rsidRDefault="00386010"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r w:rsidRPr="001F4317">
        <w:rPr>
          <w:rFonts w:asciiTheme="minorHAnsi" w:hAnsiTheme="minorHAnsi" w:cstheme="minorHAnsi"/>
          <w:smallCaps/>
          <w:szCs w:val="20"/>
        </w:rPr>
        <w:t>Hernández Sainz</w:t>
      </w:r>
      <w:r w:rsidRPr="001F4317">
        <w:rPr>
          <w:rFonts w:asciiTheme="minorHAnsi" w:hAnsiTheme="minorHAnsi" w:cstheme="minorHAnsi"/>
          <w:szCs w:val="20"/>
        </w:rPr>
        <w:t xml:space="preserve">, “El </w:t>
      </w:r>
      <w:r w:rsidRPr="001F4317">
        <w:rPr>
          <w:rFonts w:asciiTheme="minorHAnsi" w:hAnsiTheme="minorHAnsi" w:cstheme="minorHAnsi"/>
          <w:i/>
          <w:szCs w:val="20"/>
        </w:rPr>
        <w:t>crowdfunding</w:t>
      </w:r>
      <w:r w:rsidRPr="001F4317">
        <w:rPr>
          <w:rFonts w:asciiTheme="minorHAnsi" w:hAnsiTheme="minorHAnsi" w:cstheme="minorHAnsi"/>
          <w:szCs w:val="20"/>
        </w:rPr>
        <w:t xml:space="preserve"> inmobiliario mediante contratos de cuentas en participación: una fórmula de inversión participativa ¿alegal o prohibida?”, pg. 139 y </w:t>
      </w:r>
      <w:r w:rsidRPr="001F4317">
        <w:rPr>
          <w:rFonts w:asciiTheme="minorHAnsi" w:hAnsiTheme="minorHAnsi" w:cstheme="minorHAnsi"/>
          <w:smallCaps/>
          <w:szCs w:val="20"/>
        </w:rPr>
        <w:t>Jiménez París,</w:t>
      </w:r>
      <w:r w:rsidRPr="001F4317">
        <w:rPr>
          <w:rFonts w:asciiTheme="minorHAnsi" w:hAnsiTheme="minorHAnsi" w:cstheme="minorHAnsi"/>
          <w:szCs w:val="20"/>
        </w:rPr>
        <w:t xml:space="preserve"> “Breve introducción al fenómeno del </w:t>
      </w:r>
      <w:r w:rsidRPr="001F4317">
        <w:rPr>
          <w:rFonts w:asciiTheme="minorHAnsi" w:hAnsiTheme="minorHAnsi" w:cstheme="minorHAnsi"/>
          <w:i/>
          <w:szCs w:val="20"/>
        </w:rPr>
        <w:t>crowdfunding</w:t>
      </w:r>
      <w:r w:rsidRPr="001F4317">
        <w:rPr>
          <w:rFonts w:asciiTheme="minorHAnsi" w:hAnsiTheme="minorHAnsi" w:cstheme="minorHAnsi"/>
          <w:szCs w:val="20"/>
        </w:rPr>
        <w:t xml:space="preserve"> inmobiliario en España”, pg. 1584.</w:t>
      </w:r>
    </w:p>
  </w:footnote>
  <w:footnote w:id="75">
    <w:p w14:paraId="117169D4" w14:textId="3D96BC78" w:rsidR="007707A9" w:rsidRPr="001F4317" w:rsidRDefault="007707A9"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bookmarkStart w:id="44" w:name="_Hlk172567090"/>
      <w:proofErr w:type="spellStart"/>
      <w:r w:rsidRPr="001F4317">
        <w:rPr>
          <w:rFonts w:asciiTheme="minorHAnsi" w:hAnsiTheme="minorHAnsi" w:cstheme="minorHAnsi"/>
          <w:smallCaps/>
          <w:color w:val="000000"/>
          <w:szCs w:val="20"/>
        </w:rPr>
        <w:t>Palá</w:t>
      </w:r>
      <w:proofErr w:type="spellEnd"/>
      <w:r w:rsidRPr="001F4317">
        <w:rPr>
          <w:rFonts w:asciiTheme="minorHAnsi" w:hAnsiTheme="minorHAnsi" w:cstheme="minorHAnsi"/>
          <w:smallCaps/>
          <w:color w:val="000000"/>
          <w:szCs w:val="20"/>
        </w:rPr>
        <w:t xml:space="preserve"> Laguna</w:t>
      </w:r>
      <w:r w:rsidRPr="001F4317">
        <w:rPr>
          <w:rFonts w:asciiTheme="minorHAnsi" w:hAnsiTheme="minorHAnsi" w:cstheme="minorHAnsi"/>
          <w:color w:val="000000"/>
          <w:szCs w:val="20"/>
        </w:rPr>
        <w:t xml:space="preserve">, </w:t>
      </w:r>
      <w:r w:rsidR="00A46600" w:rsidRPr="001F4317">
        <w:rPr>
          <w:rFonts w:asciiTheme="minorHAnsi" w:hAnsiTheme="minorHAnsi" w:cstheme="minorHAnsi"/>
          <w:color w:val="000000"/>
          <w:szCs w:val="20"/>
        </w:rPr>
        <w:t xml:space="preserve">Reyes, </w:t>
      </w:r>
      <w:r w:rsidRPr="001F4317">
        <w:rPr>
          <w:rFonts w:asciiTheme="minorHAnsi" w:hAnsiTheme="minorHAnsi" w:cstheme="minorHAnsi"/>
          <w:color w:val="000000"/>
          <w:szCs w:val="20"/>
        </w:rPr>
        <w:t xml:space="preserve">“Los criptoactivos valores negociables como nueva categoría de los derechos-valor”, </w:t>
      </w:r>
      <w:r w:rsidRPr="001F4317">
        <w:rPr>
          <w:rFonts w:asciiTheme="minorHAnsi" w:hAnsiTheme="minorHAnsi" w:cstheme="minorHAnsi"/>
          <w:i/>
          <w:iCs/>
          <w:color w:val="000000"/>
          <w:szCs w:val="20"/>
        </w:rPr>
        <w:t>Revista de Derecho del Mercado de Valores</w:t>
      </w:r>
      <w:r w:rsidRPr="001F4317">
        <w:rPr>
          <w:rFonts w:asciiTheme="minorHAnsi" w:hAnsiTheme="minorHAnsi" w:cstheme="minorHAnsi"/>
          <w:color w:val="000000"/>
          <w:szCs w:val="20"/>
        </w:rPr>
        <w:t>, núm. 31, 2022</w:t>
      </w:r>
      <w:bookmarkEnd w:id="44"/>
      <w:r w:rsidRPr="001F4317">
        <w:rPr>
          <w:rFonts w:asciiTheme="minorHAnsi" w:hAnsiTheme="minorHAnsi" w:cstheme="minorHAnsi"/>
          <w:color w:val="000000"/>
          <w:szCs w:val="20"/>
        </w:rPr>
        <w:t>, Documento electrónico La Ley 11100/2022, pg. 2.</w:t>
      </w:r>
    </w:p>
  </w:footnote>
  <w:footnote w:id="76">
    <w:p w14:paraId="44C4C577" w14:textId="3DC88C63" w:rsidR="004B6074" w:rsidRPr="001F4317" w:rsidRDefault="004B6074"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La jurisprudencia</w:t>
      </w:r>
      <w:r w:rsidR="006F29FF" w:rsidRPr="001F4317">
        <w:rPr>
          <w:rFonts w:asciiTheme="minorHAnsi" w:hAnsiTheme="minorHAnsi" w:cstheme="minorHAnsi"/>
          <w:szCs w:val="20"/>
        </w:rPr>
        <w:t xml:space="preserve"> </w:t>
      </w:r>
      <w:r w:rsidRPr="001F4317">
        <w:rPr>
          <w:rFonts w:asciiTheme="minorHAnsi" w:hAnsiTheme="minorHAnsi" w:cstheme="minorHAnsi"/>
          <w:szCs w:val="20"/>
        </w:rPr>
        <w:t>exige «para que sea eficaz la cesión, la concurrencia de tres declaraciones de voluntad, estructurándolo como un negocio trilateral, en el que si una cualquiera de esas declaraciones faltase, la cesión sería inexistente, ya que el cedido no solo interviene en el momento de la eficacia del contrato, sino además y antes en el de su constitución» (SSAP de Salamanca de 21 de septiembre de 2018 [JUR 301827] y Tarragona de 9 de marzo de 2023 [JUR 250649] con referencia</w:t>
      </w:r>
      <w:r w:rsidR="0006209E" w:rsidRPr="001F4317">
        <w:rPr>
          <w:rFonts w:asciiTheme="minorHAnsi" w:hAnsiTheme="minorHAnsi" w:cstheme="minorHAnsi"/>
          <w:szCs w:val="20"/>
        </w:rPr>
        <w:t>s</w:t>
      </w:r>
      <w:r w:rsidRPr="001F4317">
        <w:rPr>
          <w:rFonts w:asciiTheme="minorHAnsi" w:hAnsiTheme="minorHAnsi" w:cstheme="minorHAnsi"/>
          <w:szCs w:val="20"/>
        </w:rPr>
        <w:t xml:space="preserve"> a las SSTS de 4 de febrero de 1993 [RJ 825] y 5 de marzo de 1994 [RJ 1653]).</w:t>
      </w:r>
    </w:p>
  </w:footnote>
  <w:footnote w:id="77">
    <w:p w14:paraId="46EC10EB" w14:textId="50DED85A" w:rsidR="00FD7218" w:rsidRPr="001F4317" w:rsidRDefault="00FD7218"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En torno al carácter </w:t>
      </w:r>
      <w:r w:rsidR="00927640" w:rsidRPr="001F4317">
        <w:rPr>
          <w:rFonts w:asciiTheme="minorHAnsi" w:hAnsiTheme="minorHAnsi" w:cstheme="minorHAnsi"/>
          <w:szCs w:val="20"/>
        </w:rPr>
        <w:t xml:space="preserve">esencialmente </w:t>
      </w:r>
      <w:r w:rsidRPr="001F4317">
        <w:rPr>
          <w:rFonts w:asciiTheme="minorHAnsi" w:hAnsiTheme="minorHAnsi" w:cstheme="minorHAnsi"/>
          <w:szCs w:val="20"/>
        </w:rPr>
        <w:t xml:space="preserve">personalista del contrato de cuenta en participación, cfr. </w:t>
      </w:r>
      <w:r w:rsidR="00801B2F" w:rsidRPr="001F4317">
        <w:rPr>
          <w:rFonts w:asciiTheme="minorHAnsi" w:hAnsiTheme="minorHAnsi" w:cstheme="minorHAnsi"/>
          <w:smallCaps/>
          <w:szCs w:val="20"/>
        </w:rPr>
        <w:t xml:space="preserve">Clemente </w:t>
      </w:r>
      <w:proofErr w:type="spellStart"/>
      <w:r w:rsidR="00801B2F" w:rsidRPr="001F4317">
        <w:rPr>
          <w:rFonts w:asciiTheme="minorHAnsi" w:hAnsiTheme="minorHAnsi" w:cstheme="minorHAnsi"/>
          <w:smallCaps/>
          <w:szCs w:val="20"/>
        </w:rPr>
        <w:t>Clemente</w:t>
      </w:r>
      <w:proofErr w:type="spellEnd"/>
      <w:r w:rsidR="00801B2F" w:rsidRPr="001F4317">
        <w:rPr>
          <w:rFonts w:asciiTheme="minorHAnsi" w:hAnsiTheme="minorHAnsi" w:cstheme="minorHAnsi"/>
          <w:szCs w:val="20"/>
        </w:rPr>
        <w:t>, “El contrato de cuenta en participación: renacimiento de una vieja institución”, pg</w:t>
      </w:r>
      <w:r w:rsidRPr="001F4317">
        <w:rPr>
          <w:rFonts w:asciiTheme="minorHAnsi" w:hAnsiTheme="minorHAnsi" w:cstheme="minorHAnsi"/>
          <w:szCs w:val="20"/>
        </w:rPr>
        <w:t xml:space="preserve">. </w:t>
      </w:r>
      <w:r w:rsidR="00801B2F" w:rsidRPr="001F4317">
        <w:rPr>
          <w:rFonts w:asciiTheme="minorHAnsi" w:hAnsiTheme="minorHAnsi" w:cstheme="minorHAnsi"/>
          <w:szCs w:val="20"/>
        </w:rPr>
        <w:t xml:space="preserve">101, </w:t>
      </w:r>
      <w:r w:rsidRPr="001F4317">
        <w:rPr>
          <w:rFonts w:asciiTheme="minorHAnsi" w:hAnsiTheme="minorHAnsi" w:cstheme="minorHAnsi"/>
          <w:szCs w:val="20"/>
        </w:rPr>
        <w:t>En relación a</w:t>
      </w:r>
      <w:r w:rsidR="00DA5B45" w:rsidRPr="001F4317">
        <w:rPr>
          <w:rFonts w:asciiTheme="minorHAnsi" w:hAnsiTheme="minorHAnsi" w:cstheme="minorHAnsi"/>
          <w:szCs w:val="20"/>
        </w:rPr>
        <w:t>l</w:t>
      </w:r>
      <w:r w:rsidRPr="001F4317">
        <w:rPr>
          <w:rFonts w:asciiTheme="minorHAnsi" w:hAnsiTheme="minorHAnsi" w:cstheme="minorHAnsi"/>
          <w:szCs w:val="20"/>
        </w:rPr>
        <w:t xml:space="preserve"> préstamo participativo</w:t>
      </w:r>
      <w:r w:rsidR="006215E7" w:rsidRPr="001F4317">
        <w:rPr>
          <w:rFonts w:asciiTheme="minorHAnsi" w:hAnsiTheme="minorHAnsi" w:cstheme="minorHAnsi"/>
          <w:szCs w:val="20"/>
        </w:rPr>
        <w:t>,</w:t>
      </w:r>
      <w:r w:rsidRPr="001F4317">
        <w:rPr>
          <w:rFonts w:asciiTheme="minorHAnsi" w:hAnsiTheme="minorHAnsi" w:cstheme="minorHAnsi"/>
          <w:szCs w:val="20"/>
        </w:rPr>
        <w:t xml:space="preserve"> </w:t>
      </w:r>
      <w:r w:rsidR="00DA5B45" w:rsidRPr="001F4317">
        <w:rPr>
          <w:rFonts w:asciiTheme="minorHAnsi" w:hAnsiTheme="minorHAnsi" w:cstheme="minorHAnsi"/>
          <w:szCs w:val="20"/>
        </w:rPr>
        <w:t>su</w:t>
      </w:r>
      <w:r w:rsidRPr="001F4317">
        <w:rPr>
          <w:rFonts w:asciiTheme="minorHAnsi" w:hAnsiTheme="minorHAnsi" w:cstheme="minorHAnsi"/>
          <w:szCs w:val="20"/>
        </w:rPr>
        <w:t xml:space="preserve"> configuración como </w:t>
      </w:r>
      <w:proofErr w:type="spellStart"/>
      <w:r w:rsidRPr="001F4317">
        <w:rPr>
          <w:rFonts w:asciiTheme="minorHAnsi" w:hAnsiTheme="minorHAnsi" w:cstheme="minorHAnsi"/>
          <w:i/>
          <w:iCs/>
          <w:szCs w:val="20"/>
        </w:rPr>
        <w:t>intuitus</w:t>
      </w:r>
      <w:proofErr w:type="spellEnd"/>
      <w:r w:rsidRPr="001F4317">
        <w:rPr>
          <w:rFonts w:asciiTheme="minorHAnsi" w:hAnsiTheme="minorHAnsi" w:cstheme="minorHAnsi"/>
          <w:i/>
          <w:iCs/>
          <w:szCs w:val="20"/>
        </w:rPr>
        <w:t xml:space="preserve"> </w:t>
      </w:r>
      <w:proofErr w:type="spellStart"/>
      <w:r w:rsidRPr="001F4317">
        <w:rPr>
          <w:rFonts w:asciiTheme="minorHAnsi" w:hAnsiTheme="minorHAnsi" w:cstheme="minorHAnsi"/>
          <w:i/>
          <w:iCs/>
          <w:szCs w:val="20"/>
        </w:rPr>
        <w:t>personae</w:t>
      </w:r>
      <w:proofErr w:type="spellEnd"/>
      <w:r w:rsidRPr="001F4317">
        <w:rPr>
          <w:rFonts w:asciiTheme="minorHAnsi" w:hAnsiTheme="minorHAnsi" w:cstheme="minorHAnsi"/>
          <w:szCs w:val="20"/>
        </w:rPr>
        <w:t xml:space="preserve"> podría derivarse de los requisitos de identificación previos a la contratación y adquisición del token</w:t>
      </w:r>
      <w:r w:rsidR="00195E5F" w:rsidRPr="001F4317">
        <w:rPr>
          <w:rFonts w:asciiTheme="minorHAnsi" w:hAnsiTheme="minorHAnsi" w:cstheme="minorHAnsi"/>
          <w:szCs w:val="20"/>
        </w:rPr>
        <w:t xml:space="preserve"> y de las propias limitaciones </w:t>
      </w:r>
      <w:r w:rsidR="002318EE" w:rsidRPr="001F4317">
        <w:rPr>
          <w:rFonts w:asciiTheme="minorHAnsi" w:hAnsiTheme="minorHAnsi" w:cstheme="minorHAnsi"/>
          <w:szCs w:val="20"/>
        </w:rPr>
        <w:t xml:space="preserve">convencionales </w:t>
      </w:r>
      <w:r w:rsidR="00195E5F" w:rsidRPr="001F4317">
        <w:rPr>
          <w:rFonts w:asciiTheme="minorHAnsi" w:hAnsiTheme="minorHAnsi" w:cstheme="minorHAnsi"/>
          <w:szCs w:val="20"/>
        </w:rPr>
        <w:t>impuestas a la cesión de la posición contractual</w:t>
      </w:r>
      <w:r w:rsidRPr="001F4317">
        <w:rPr>
          <w:rFonts w:asciiTheme="minorHAnsi" w:hAnsiTheme="minorHAnsi" w:cstheme="minorHAnsi"/>
          <w:szCs w:val="20"/>
        </w:rPr>
        <w:t>.</w:t>
      </w:r>
    </w:p>
  </w:footnote>
  <w:footnote w:id="78">
    <w:p w14:paraId="680192C4" w14:textId="487AD05C" w:rsidR="00B55C9F" w:rsidRPr="001F4317" w:rsidRDefault="00B55C9F"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r w:rsidRPr="001F4317">
        <w:rPr>
          <w:rFonts w:asciiTheme="minorHAnsi" w:hAnsiTheme="minorHAnsi" w:cstheme="minorHAnsi"/>
          <w:smallCaps/>
          <w:szCs w:val="20"/>
        </w:rPr>
        <w:t>Sánchez Gil</w:t>
      </w:r>
      <w:r w:rsidRPr="001F4317">
        <w:rPr>
          <w:rFonts w:asciiTheme="minorHAnsi" w:hAnsiTheme="minorHAnsi" w:cstheme="minorHAnsi"/>
          <w:szCs w:val="20"/>
        </w:rPr>
        <w:t>, “¿Tokens como valores negociables? La aplicabilidad del marco europeo del sector financiero a los criptoactivos”, pg. 99.</w:t>
      </w:r>
    </w:p>
  </w:footnote>
  <w:footnote w:id="79">
    <w:p w14:paraId="0F7C7C39" w14:textId="7C504E4D" w:rsidR="00930575" w:rsidRPr="001F4317" w:rsidRDefault="00930575"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En el mismo sentido, aunque referido a los préstamos realizados por plataformas de financiación participativa, cfr. </w:t>
      </w:r>
      <w:r w:rsidRPr="001F4317">
        <w:rPr>
          <w:rFonts w:asciiTheme="minorHAnsi" w:hAnsiTheme="minorHAnsi" w:cstheme="minorHAnsi"/>
          <w:smallCaps/>
          <w:szCs w:val="20"/>
        </w:rPr>
        <w:t>Zunzunegui</w:t>
      </w:r>
      <w:r w:rsidRPr="001F4317">
        <w:rPr>
          <w:rFonts w:asciiTheme="minorHAnsi" w:hAnsiTheme="minorHAnsi" w:cstheme="minorHAnsi"/>
          <w:szCs w:val="20"/>
        </w:rPr>
        <w:t>, Fernando, “Régimen jurídico de las plataformas de financiación participativa (crow</w:t>
      </w:r>
      <w:r w:rsidR="00892224" w:rsidRPr="001F4317">
        <w:rPr>
          <w:rFonts w:asciiTheme="minorHAnsi" w:hAnsiTheme="minorHAnsi" w:cstheme="minorHAnsi"/>
          <w:szCs w:val="20"/>
        </w:rPr>
        <w:t>d</w:t>
      </w:r>
      <w:r w:rsidRPr="001F4317">
        <w:rPr>
          <w:rFonts w:asciiTheme="minorHAnsi" w:hAnsiTheme="minorHAnsi" w:cstheme="minorHAnsi"/>
          <w:szCs w:val="20"/>
        </w:rPr>
        <w:t xml:space="preserve">funding)”, </w:t>
      </w:r>
      <w:r w:rsidRPr="001F4317">
        <w:rPr>
          <w:rFonts w:asciiTheme="minorHAnsi" w:hAnsiTheme="minorHAnsi" w:cstheme="minorHAnsi"/>
          <w:i/>
          <w:iCs/>
          <w:szCs w:val="20"/>
        </w:rPr>
        <w:t>Revista de Derecho del Mercado Financiero</w:t>
      </w:r>
      <w:r w:rsidRPr="001F4317">
        <w:rPr>
          <w:rFonts w:asciiTheme="minorHAnsi" w:hAnsiTheme="minorHAnsi" w:cstheme="minorHAnsi"/>
          <w:szCs w:val="20"/>
        </w:rPr>
        <w:t xml:space="preserve">, </w:t>
      </w:r>
      <w:proofErr w:type="spellStart"/>
      <w:r w:rsidRPr="001F4317">
        <w:rPr>
          <w:rFonts w:asciiTheme="minorHAnsi" w:hAnsiTheme="minorHAnsi" w:cstheme="minorHAnsi"/>
          <w:szCs w:val="20"/>
        </w:rPr>
        <w:t>Working</w:t>
      </w:r>
      <w:proofErr w:type="spellEnd"/>
      <w:r w:rsidRPr="001F4317">
        <w:rPr>
          <w:rFonts w:asciiTheme="minorHAnsi" w:hAnsiTheme="minorHAnsi" w:cstheme="minorHAnsi"/>
          <w:szCs w:val="20"/>
        </w:rPr>
        <w:t xml:space="preserve"> </w:t>
      </w:r>
      <w:proofErr w:type="spellStart"/>
      <w:r w:rsidRPr="001F4317">
        <w:rPr>
          <w:rFonts w:asciiTheme="minorHAnsi" w:hAnsiTheme="minorHAnsi" w:cstheme="minorHAnsi"/>
          <w:szCs w:val="20"/>
        </w:rPr>
        <w:t>Paper</w:t>
      </w:r>
      <w:proofErr w:type="spellEnd"/>
      <w:r w:rsidRPr="001F4317">
        <w:rPr>
          <w:rFonts w:asciiTheme="minorHAnsi" w:hAnsiTheme="minorHAnsi" w:cstheme="minorHAnsi"/>
          <w:szCs w:val="20"/>
        </w:rPr>
        <w:t xml:space="preserve"> 3/2015, pg. 14.</w:t>
      </w:r>
    </w:p>
  </w:footnote>
  <w:footnote w:id="80">
    <w:p w14:paraId="05CD9310" w14:textId="0FF7411C" w:rsidR="000F4D2A" w:rsidRPr="0080490E" w:rsidRDefault="000F4D2A" w:rsidP="001F4317">
      <w:pPr>
        <w:pStyle w:val="Textonotapie"/>
        <w:rPr>
          <w:rFonts w:asciiTheme="minorHAnsi" w:hAnsiTheme="minorHAnsi" w:cstheme="minorHAnsi"/>
          <w:szCs w:val="20"/>
          <w:lang w:val="en-AU"/>
        </w:rPr>
      </w:pPr>
      <w:r w:rsidRPr="001F4317">
        <w:rPr>
          <w:rStyle w:val="Refdenotaalpie"/>
          <w:rFonts w:asciiTheme="minorHAnsi" w:hAnsiTheme="minorHAnsi" w:cstheme="minorHAnsi"/>
          <w:sz w:val="20"/>
          <w:szCs w:val="20"/>
        </w:rPr>
        <w:footnoteRef/>
      </w:r>
      <w:r w:rsidRPr="0080490E">
        <w:rPr>
          <w:rFonts w:asciiTheme="minorHAnsi" w:hAnsiTheme="minorHAnsi" w:cstheme="minorHAnsi"/>
          <w:szCs w:val="20"/>
          <w:lang w:val="en-AU"/>
        </w:rPr>
        <w:t xml:space="preserve"> </w:t>
      </w:r>
      <w:proofErr w:type="spellStart"/>
      <w:r w:rsidRPr="0080490E">
        <w:rPr>
          <w:rFonts w:asciiTheme="minorHAnsi" w:hAnsiTheme="minorHAnsi" w:cstheme="minorHAnsi"/>
          <w:szCs w:val="20"/>
          <w:lang w:val="en-AU"/>
        </w:rPr>
        <w:t>Cfr</w:t>
      </w:r>
      <w:proofErr w:type="spellEnd"/>
      <w:r w:rsidRPr="0080490E">
        <w:rPr>
          <w:rFonts w:asciiTheme="minorHAnsi" w:hAnsiTheme="minorHAnsi" w:cstheme="minorHAnsi"/>
          <w:szCs w:val="20"/>
          <w:lang w:val="en-AU"/>
        </w:rPr>
        <w:t xml:space="preserve">. ESMA, </w:t>
      </w:r>
      <w:r w:rsidRPr="0080490E">
        <w:rPr>
          <w:rFonts w:asciiTheme="minorHAnsi" w:hAnsiTheme="minorHAnsi" w:cstheme="minorHAnsi"/>
          <w:i/>
          <w:szCs w:val="20"/>
          <w:lang w:val="en-AU"/>
        </w:rPr>
        <w:t>Consultation paper on the draft Guidelines on the conditions and criteria for the qualification of crypto-assets as financial instruments</w:t>
      </w:r>
      <w:r w:rsidRPr="0080490E">
        <w:rPr>
          <w:rFonts w:asciiTheme="minorHAnsi" w:hAnsiTheme="minorHAnsi" w:cstheme="minorHAnsi"/>
          <w:szCs w:val="20"/>
          <w:lang w:val="en-AU"/>
        </w:rPr>
        <w:t xml:space="preserve">, </w:t>
      </w:r>
      <w:proofErr w:type="spellStart"/>
      <w:r w:rsidRPr="0080490E">
        <w:rPr>
          <w:rFonts w:asciiTheme="minorHAnsi" w:hAnsiTheme="minorHAnsi" w:cstheme="minorHAnsi"/>
          <w:szCs w:val="20"/>
          <w:lang w:val="en-AU"/>
        </w:rPr>
        <w:t>núm</w:t>
      </w:r>
      <w:proofErr w:type="spellEnd"/>
      <w:r w:rsidRPr="0080490E">
        <w:rPr>
          <w:rFonts w:asciiTheme="minorHAnsi" w:hAnsiTheme="minorHAnsi" w:cstheme="minorHAnsi"/>
          <w:szCs w:val="20"/>
          <w:lang w:val="en-AU"/>
        </w:rPr>
        <w:t>. 26.</w:t>
      </w:r>
    </w:p>
  </w:footnote>
  <w:footnote w:id="81">
    <w:p w14:paraId="2A55BD39" w14:textId="1C416028" w:rsidR="006170A9" w:rsidRPr="001F4317" w:rsidRDefault="006170A9"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bookmarkStart w:id="45" w:name="_Hlk172567133"/>
      <w:r w:rsidR="0089095D" w:rsidRPr="001F4317">
        <w:rPr>
          <w:rFonts w:asciiTheme="minorHAnsi" w:hAnsiTheme="minorHAnsi" w:cstheme="minorHAnsi"/>
          <w:szCs w:val="20"/>
        </w:rPr>
        <w:t xml:space="preserve">Cfr. </w:t>
      </w:r>
      <w:r w:rsidR="00684F96" w:rsidRPr="001F4317">
        <w:rPr>
          <w:rFonts w:asciiTheme="minorHAnsi" w:hAnsiTheme="minorHAnsi" w:cstheme="minorHAnsi"/>
          <w:smallCaps/>
          <w:szCs w:val="20"/>
        </w:rPr>
        <w:t>Muñoz Pérez</w:t>
      </w:r>
      <w:r w:rsidR="0089095D" w:rsidRPr="001F4317">
        <w:rPr>
          <w:rFonts w:asciiTheme="minorHAnsi" w:hAnsiTheme="minorHAnsi" w:cstheme="minorHAnsi"/>
          <w:szCs w:val="20"/>
        </w:rPr>
        <w:t xml:space="preserve">, Ana Felicitas, </w:t>
      </w:r>
      <w:r w:rsidRPr="001F4317">
        <w:rPr>
          <w:rFonts w:asciiTheme="minorHAnsi" w:hAnsiTheme="minorHAnsi" w:cstheme="minorHAnsi"/>
          <w:szCs w:val="20"/>
        </w:rPr>
        <w:t xml:space="preserve">“Criptoactivo, oferta y admisión a negociación”, </w:t>
      </w:r>
      <w:r w:rsidR="00684F96" w:rsidRPr="001F4317">
        <w:rPr>
          <w:rFonts w:asciiTheme="minorHAnsi" w:eastAsia="Times New Roman" w:hAnsiTheme="minorHAnsi" w:cstheme="minorHAnsi"/>
          <w:szCs w:val="20"/>
        </w:rPr>
        <w:t xml:space="preserve">en </w:t>
      </w:r>
      <w:r w:rsidR="00684F96" w:rsidRPr="001F4317">
        <w:rPr>
          <w:rFonts w:asciiTheme="minorHAnsi" w:eastAsia="Times New Roman" w:hAnsiTheme="minorHAnsi" w:cstheme="minorHAnsi"/>
          <w:smallCaps/>
          <w:szCs w:val="20"/>
        </w:rPr>
        <w:t>Madrid Parra</w:t>
      </w:r>
      <w:r w:rsidR="00154C34" w:rsidRPr="001F4317">
        <w:rPr>
          <w:rFonts w:asciiTheme="minorHAnsi" w:eastAsia="Times New Roman" w:hAnsiTheme="minorHAnsi" w:cstheme="minorHAnsi"/>
          <w:smallCaps/>
          <w:szCs w:val="20"/>
        </w:rPr>
        <w:t>,</w:t>
      </w:r>
      <w:r w:rsidR="00154C34" w:rsidRPr="001F4317">
        <w:rPr>
          <w:rFonts w:asciiTheme="minorHAnsi" w:eastAsia="Times New Roman" w:hAnsiTheme="minorHAnsi" w:cstheme="minorHAnsi"/>
          <w:szCs w:val="20"/>
        </w:rPr>
        <w:t xml:space="preserve"> Agustín</w:t>
      </w:r>
      <w:r w:rsidR="00684F96" w:rsidRPr="001F4317">
        <w:rPr>
          <w:rFonts w:asciiTheme="minorHAnsi" w:eastAsia="Times New Roman" w:hAnsiTheme="minorHAnsi" w:cstheme="minorHAnsi"/>
          <w:szCs w:val="20"/>
        </w:rPr>
        <w:t>/</w:t>
      </w:r>
      <w:r w:rsidR="00684F96" w:rsidRPr="001F4317">
        <w:rPr>
          <w:rFonts w:asciiTheme="minorHAnsi" w:eastAsia="Times New Roman" w:hAnsiTheme="minorHAnsi" w:cstheme="minorHAnsi"/>
          <w:smallCaps/>
          <w:szCs w:val="20"/>
        </w:rPr>
        <w:t>Pastor Sempere</w:t>
      </w:r>
      <w:r w:rsidR="00684F96" w:rsidRPr="001F4317">
        <w:rPr>
          <w:rFonts w:asciiTheme="minorHAnsi" w:eastAsia="Times New Roman" w:hAnsiTheme="minorHAnsi" w:cstheme="minorHAnsi"/>
          <w:szCs w:val="20"/>
        </w:rPr>
        <w:t xml:space="preserve">, </w:t>
      </w:r>
      <w:r w:rsidR="00154C34" w:rsidRPr="001F4317">
        <w:rPr>
          <w:rFonts w:asciiTheme="minorHAnsi" w:eastAsia="Times New Roman" w:hAnsiTheme="minorHAnsi" w:cstheme="minorHAnsi"/>
          <w:szCs w:val="20"/>
        </w:rPr>
        <w:t>Carmen,</w:t>
      </w:r>
      <w:r w:rsidR="00154C34" w:rsidRPr="001F4317">
        <w:rPr>
          <w:rFonts w:asciiTheme="minorHAnsi" w:eastAsia="Times New Roman" w:hAnsiTheme="minorHAnsi" w:cstheme="minorHAnsi"/>
          <w:i/>
          <w:szCs w:val="20"/>
        </w:rPr>
        <w:t xml:space="preserve"> </w:t>
      </w:r>
      <w:r w:rsidR="00684F96" w:rsidRPr="001F4317">
        <w:rPr>
          <w:rFonts w:asciiTheme="minorHAnsi" w:eastAsia="Times New Roman" w:hAnsiTheme="minorHAnsi" w:cstheme="minorHAnsi"/>
          <w:i/>
          <w:szCs w:val="20"/>
        </w:rPr>
        <w:t>Guía de criptoactivos MiCA</w:t>
      </w:r>
      <w:r w:rsidR="00684F96" w:rsidRPr="001F4317">
        <w:rPr>
          <w:rFonts w:asciiTheme="minorHAnsi" w:eastAsia="Times New Roman" w:hAnsiTheme="minorHAnsi" w:cstheme="minorHAnsi"/>
          <w:szCs w:val="20"/>
        </w:rPr>
        <w:t>, Thomson Reuters Aranzadi, Cizur Menor, 2021</w:t>
      </w:r>
      <w:bookmarkEnd w:id="45"/>
      <w:r w:rsidR="00684F96" w:rsidRPr="001F4317">
        <w:rPr>
          <w:rFonts w:asciiTheme="minorHAnsi" w:eastAsia="Times New Roman" w:hAnsiTheme="minorHAnsi" w:cstheme="minorHAnsi"/>
          <w:szCs w:val="20"/>
        </w:rPr>
        <w:t>, pg</w:t>
      </w:r>
      <w:r w:rsidR="000A1122" w:rsidRPr="001F4317">
        <w:rPr>
          <w:rFonts w:asciiTheme="minorHAnsi" w:eastAsia="Times New Roman" w:hAnsiTheme="minorHAnsi" w:cstheme="minorHAnsi"/>
          <w:szCs w:val="20"/>
        </w:rPr>
        <w:t>s</w:t>
      </w:r>
      <w:r w:rsidR="00684F96" w:rsidRPr="001F4317">
        <w:rPr>
          <w:rFonts w:asciiTheme="minorHAnsi" w:eastAsia="Times New Roman" w:hAnsiTheme="minorHAnsi" w:cstheme="minorHAnsi"/>
          <w:szCs w:val="20"/>
        </w:rPr>
        <w:t>. 65</w:t>
      </w:r>
      <w:r w:rsidR="000A1122" w:rsidRPr="001F4317">
        <w:rPr>
          <w:rFonts w:asciiTheme="minorHAnsi" w:eastAsia="Times New Roman" w:hAnsiTheme="minorHAnsi" w:cstheme="minorHAnsi"/>
          <w:szCs w:val="20"/>
        </w:rPr>
        <w:t xml:space="preserve"> y 69</w:t>
      </w:r>
      <w:r w:rsidR="00D11CB9" w:rsidRPr="001F4317">
        <w:rPr>
          <w:rFonts w:asciiTheme="minorHAnsi" w:eastAsia="Times New Roman" w:hAnsiTheme="minorHAnsi" w:cstheme="minorHAnsi"/>
          <w:szCs w:val="20"/>
        </w:rPr>
        <w:t>.</w:t>
      </w:r>
    </w:p>
  </w:footnote>
  <w:footnote w:id="82">
    <w:p w14:paraId="12D4DE0A" w14:textId="545DB024" w:rsidR="009B6379" w:rsidRPr="001F4317" w:rsidRDefault="009B6379"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Se entiende por «oferta pública» una comunicación a personas, de cualquier forma y por cualquier medio, que presenta información suficiente sobre los términos de la oferta y los criptoactivos que se ofertan de modo que permite a potenciales titulares decidir si adquieren dichos criptoactivos (</w:t>
      </w:r>
      <w:r w:rsidR="00430C68" w:rsidRPr="001F4317">
        <w:rPr>
          <w:rFonts w:asciiTheme="minorHAnsi" w:hAnsiTheme="minorHAnsi" w:cstheme="minorHAnsi"/>
          <w:szCs w:val="20"/>
        </w:rPr>
        <w:t xml:space="preserve">art. </w:t>
      </w:r>
      <w:r w:rsidRPr="001F4317">
        <w:rPr>
          <w:rFonts w:asciiTheme="minorHAnsi" w:hAnsiTheme="minorHAnsi" w:cstheme="minorHAnsi"/>
          <w:szCs w:val="20"/>
        </w:rPr>
        <w:t>3.1.12 MiCA).</w:t>
      </w:r>
    </w:p>
  </w:footnote>
  <w:footnote w:id="83">
    <w:p w14:paraId="34F71544" w14:textId="4FD4C5E3" w:rsidR="00D07C38" w:rsidRPr="001F4317" w:rsidRDefault="00D07C38"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Cfr. </w:t>
      </w:r>
      <w:bookmarkStart w:id="46" w:name="_Hlk172567158"/>
      <w:r w:rsidRPr="001F4317">
        <w:rPr>
          <w:rFonts w:asciiTheme="minorHAnsi" w:hAnsiTheme="minorHAnsi" w:cstheme="minorHAnsi"/>
          <w:smallCaps/>
          <w:szCs w:val="20"/>
        </w:rPr>
        <w:t>Novella González del Castillo</w:t>
      </w:r>
      <w:r w:rsidR="00A46600" w:rsidRPr="001F4317">
        <w:rPr>
          <w:rFonts w:asciiTheme="minorHAnsi" w:hAnsiTheme="minorHAnsi" w:cstheme="minorHAnsi"/>
          <w:smallCaps/>
          <w:szCs w:val="20"/>
        </w:rPr>
        <w:t>,</w:t>
      </w:r>
      <w:r w:rsidR="00A46600" w:rsidRPr="001F4317">
        <w:rPr>
          <w:rFonts w:asciiTheme="minorHAnsi" w:hAnsiTheme="minorHAnsi" w:cstheme="minorHAnsi"/>
          <w:szCs w:val="20"/>
        </w:rPr>
        <w:t xml:space="preserve"> Eduardo</w:t>
      </w:r>
      <w:r w:rsidRPr="001F4317">
        <w:rPr>
          <w:rFonts w:asciiTheme="minorHAnsi" w:hAnsiTheme="minorHAnsi" w:cstheme="minorHAnsi"/>
          <w:szCs w:val="20"/>
        </w:rPr>
        <w:t xml:space="preserve">, “El futuro Reglamento europeo para un mercado de criptoactivos (Propuesta MICA)”, en </w:t>
      </w:r>
      <w:r w:rsidRPr="001F4317">
        <w:rPr>
          <w:rFonts w:asciiTheme="minorHAnsi" w:hAnsiTheme="minorHAnsi" w:cstheme="minorHAnsi"/>
          <w:smallCaps/>
          <w:szCs w:val="20"/>
        </w:rPr>
        <w:t>Barrio Andrés</w:t>
      </w:r>
      <w:r w:rsidR="009B6379" w:rsidRPr="001F4317">
        <w:rPr>
          <w:rFonts w:asciiTheme="minorHAnsi" w:hAnsiTheme="minorHAnsi" w:cstheme="minorHAnsi"/>
          <w:smallCaps/>
          <w:szCs w:val="20"/>
        </w:rPr>
        <w:t>,</w:t>
      </w:r>
      <w:r w:rsidRPr="001F4317">
        <w:rPr>
          <w:rFonts w:asciiTheme="minorHAnsi" w:hAnsiTheme="minorHAnsi" w:cstheme="minorHAnsi"/>
          <w:i/>
          <w:iCs/>
          <w:szCs w:val="20"/>
        </w:rPr>
        <w:t xml:space="preserve"> </w:t>
      </w:r>
      <w:r w:rsidR="009B6379" w:rsidRPr="001F4317">
        <w:rPr>
          <w:rFonts w:asciiTheme="minorHAnsi" w:hAnsiTheme="minorHAnsi" w:cstheme="minorHAnsi"/>
          <w:szCs w:val="20"/>
        </w:rPr>
        <w:t xml:space="preserve">Moisés </w:t>
      </w:r>
      <w:r w:rsidRPr="001F4317">
        <w:rPr>
          <w:rFonts w:asciiTheme="minorHAnsi" w:hAnsiTheme="minorHAnsi" w:cstheme="minorHAnsi"/>
          <w:szCs w:val="20"/>
        </w:rPr>
        <w:t>(coord.),</w:t>
      </w:r>
      <w:r w:rsidRPr="001F4317">
        <w:rPr>
          <w:rFonts w:asciiTheme="minorHAnsi" w:hAnsiTheme="minorHAnsi" w:cstheme="minorHAnsi"/>
          <w:i/>
          <w:iCs/>
          <w:szCs w:val="20"/>
        </w:rPr>
        <w:t xml:space="preserve"> Criptoactivos. Retos y desafíos normativos</w:t>
      </w:r>
      <w:r w:rsidRPr="001F4317">
        <w:rPr>
          <w:rFonts w:asciiTheme="minorHAnsi" w:hAnsiTheme="minorHAnsi" w:cstheme="minorHAnsi"/>
          <w:szCs w:val="20"/>
        </w:rPr>
        <w:t xml:space="preserve">, </w:t>
      </w:r>
      <w:r w:rsidR="00C73314" w:rsidRPr="001F4317">
        <w:rPr>
          <w:rFonts w:asciiTheme="minorHAnsi" w:hAnsiTheme="minorHAnsi" w:cstheme="minorHAnsi"/>
          <w:szCs w:val="20"/>
        </w:rPr>
        <w:t xml:space="preserve">Wolters </w:t>
      </w:r>
      <w:proofErr w:type="spellStart"/>
      <w:r w:rsidR="00C73314" w:rsidRPr="001F4317">
        <w:rPr>
          <w:rFonts w:asciiTheme="minorHAnsi" w:hAnsiTheme="minorHAnsi" w:cstheme="minorHAnsi"/>
          <w:szCs w:val="20"/>
        </w:rPr>
        <w:t>Kluwer</w:t>
      </w:r>
      <w:proofErr w:type="spellEnd"/>
      <w:r w:rsidR="00C73314" w:rsidRPr="001F4317">
        <w:rPr>
          <w:rFonts w:asciiTheme="minorHAnsi" w:hAnsiTheme="minorHAnsi" w:cstheme="minorHAnsi"/>
          <w:szCs w:val="20"/>
        </w:rPr>
        <w:t xml:space="preserve">, </w:t>
      </w:r>
      <w:r w:rsidR="00A14346" w:rsidRPr="001F4317">
        <w:rPr>
          <w:rFonts w:asciiTheme="minorHAnsi" w:hAnsiTheme="minorHAnsi" w:cstheme="minorHAnsi"/>
          <w:szCs w:val="20"/>
        </w:rPr>
        <w:t xml:space="preserve">Madrid, </w:t>
      </w:r>
      <w:r w:rsidR="00C73314" w:rsidRPr="001F4317">
        <w:rPr>
          <w:rFonts w:asciiTheme="minorHAnsi" w:hAnsiTheme="minorHAnsi" w:cstheme="minorHAnsi"/>
          <w:szCs w:val="20"/>
        </w:rPr>
        <w:t>2021</w:t>
      </w:r>
      <w:bookmarkEnd w:id="46"/>
      <w:r w:rsidR="00C73314" w:rsidRPr="001F4317">
        <w:rPr>
          <w:rFonts w:asciiTheme="minorHAnsi" w:hAnsiTheme="minorHAnsi" w:cstheme="minorHAnsi"/>
          <w:szCs w:val="20"/>
        </w:rPr>
        <w:t xml:space="preserve">, </w:t>
      </w:r>
      <w:r w:rsidRPr="001F4317">
        <w:rPr>
          <w:rFonts w:asciiTheme="minorHAnsi" w:hAnsiTheme="minorHAnsi" w:cstheme="minorHAnsi"/>
          <w:szCs w:val="20"/>
        </w:rPr>
        <w:t xml:space="preserve">pg. </w:t>
      </w:r>
      <w:r w:rsidR="00151C1A" w:rsidRPr="001F4317">
        <w:rPr>
          <w:rFonts w:asciiTheme="minorHAnsi" w:hAnsiTheme="minorHAnsi" w:cstheme="minorHAnsi"/>
          <w:szCs w:val="20"/>
        </w:rPr>
        <w:t>12</w:t>
      </w:r>
      <w:r w:rsidRPr="001F4317">
        <w:rPr>
          <w:rFonts w:asciiTheme="minorHAnsi" w:hAnsiTheme="minorHAnsi" w:cstheme="minorHAnsi"/>
          <w:szCs w:val="20"/>
        </w:rPr>
        <w:t>3.</w:t>
      </w:r>
      <w:r w:rsidR="005757C4" w:rsidRPr="001F4317">
        <w:rPr>
          <w:rFonts w:asciiTheme="minorHAnsi" w:hAnsiTheme="minorHAnsi" w:cstheme="minorHAnsi"/>
          <w:szCs w:val="20"/>
        </w:rPr>
        <w:t xml:space="preserve"> Se estima, no obstante, que si una de las finalidades de MiCA es dotar de seguridad y protección al inversor, </w:t>
      </w:r>
      <w:r w:rsidR="005A3346" w:rsidRPr="001F4317">
        <w:rPr>
          <w:rFonts w:asciiTheme="minorHAnsi" w:hAnsiTheme="minorHAnsi" w:cstheme="minorHAnsi"/>
          <w:szCs w:val="20"/>
        </w:rPr>
        <w:t xml:space="preserve">resulta muy elevado </w:t>
      </w:r>
      <w:r w:rsidR="009B6379" w:rsidRPr="001F4317">
        <w:rPr>
          <w:rFonts w:asciiTheme="minorHAnsi" w:hAnsiTheme="minorHAnsi" w:cstheme="minorHAnsi"/>
          <w:szCs w:val="20"/>
        </w:rPr>
        <w:t>el</w:t>
      </w:r>
      <w:r w:rsidR="005757C4" w:rsidRPr="001F4317">
        <w:rPr>
          <w:rFonts w:asciiTheme="minorHAnsi" w:hAnsiTheme="minorHAnsi" w:cstheme="minorHAnsi"/>
          <w:szCs w:val="20"/>
        </w:rPr>
        <w:t xml:space="preserve"> umbral mínimo </w:t>
      </w:r>
      <w:r w:rsidR="005A3346" w:rsidRPr="001F4317">
        <w:rPr>
          <w:rFonts w:asciiTheme="minorHAnsi" w:hAnsiTheme="minorHAnsi" w:cstheme="minorHAnsi"/>
          <w:szCs w:val="20"/>
        </w:rPr>
        <w:t>de la oferta</w:t>
      </w:r>
      <w:r w:rsidR="005757C4" w:rsidRPr="001F4317">
        <w:rPr>
          <w:rFonts w:asciiTheme="minorHAnsi" w:hAnsiTheme="minorHAnsi" w:cstheme="minorHAnsi"/>
          <w:szCs w:val="20"/>
        </w:rPr>
        <w:t>.</w:t>
      </w:r>
    </w:p>
  </w:footnote>
  <w:footnote w:id="84">
    <w:p w14:paraId="62C364F0" w14:textId="445C37D1" w:rsidR="00375C3E" w:rsidRPr="001F4317" w:rsidRDefault="00375C3E"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En torno al régimen de emisión de token, cfr. </w:t>
      </w:r>
      <w:bookmarkStart w:id="47" w:name="_Hlk172567170"/>
      <w:r w:rsidRPr="001F4317">
        <w:rPr>
          <w:rFonts w:asciiTheme="minorHAnsi" w:hAnsiTheme="minorHAnsi" w:cstheme="minorHAnsi"/>
          <w:smallCaps/>
          <w:szCs w:val="20"/>
        </w:rPr>
        <w:t>Tapia Frade</w:t>
      </w:r>
      <w:r w:rsidRPr="001F4317">
        <w:rPr>
          <w:rFonts w:asciiTheme="minorHAnsi" w:hAnsiTheme="minorHAnsi" w:cstheme="minorHAnsi"/>
          <w:szCs w:val="20"/>
        </w:rPr>
        <w:t xml:space="preserve">, </w:t>
      </w:r>
      <w:r w:rsidR="00A46600" w:rsidRPr="001F4317">
        <w:rPr>
          <w:rFonts w:asciiTheme="minorHAnsi" w:hAnsiTheme="minorHAnsi" w:cstheme="minorHAnsi"/>
          <w:szCs w:val="20"/>
        </w:rPr>
        <w:t xml:space="preserve">Antonio, </w:t>
      </w:r>
      <w:r w:rsidRPr="001F4317">
        <w:rPr>
          <w:rFonts w:asciiTheme="minorHAnsi" w:hAnsiTheme="minorHAnsi" w:cstheme="minorHAnsi"/>
          <w:szCs w:val="20"/>
        </w:rPr>
        <w:t xml:space="preserve">“Las ofertas públicas de criptoactivos distintos de fichas referenciadas a activos o fichas de dinero electrónico como medio alternativo de financiación en la propuesta de Reglamento MiCA”, </w:t>
      </w:r>
      <w:r w:rsidRPr="001F4317">
        <w:rPr>
          <w:rFonts w:asciiTheme="minorHAnsi" w:hAnsiTheme="minorHAnsi" w:cstheme="minorHAnsi"/>
          <w:i/>
          <w:iCs/>
          <w:szCs w:val="20"/>
        </w:rPr>
        <w:t>La Ley Mercantil</w:t>
      </w:r>
      <w:r w:rsidRPr="001F4317">
        <w:rPr>
          <w:rFonts w:asciiTheme="minorHAnsi" w:hAnsiTheme="minorHAnsi" w:cstheme="minorHAnsi"/>
          <w:szCs w:val="20"/>
        </w:rPr>
        <w:t>, núm. 99, 2023</w:t>
      </w:r>
      <w:bookmarkEnd w:id="47"/>
      <w:r w:rsidRPr="001F4317">
        <w:rPr>
          <w:rFonts w:asciiTheme="minorHAnsi" w:hAnsiTheme="minorHAnsi" w:cstheme="minorHAnsi"/>
          <w:szCs w:val="20"/>
        </w:rPr>
        <w:t>, Documento Electrónico La Ley 1281/2023.</w:t>
      </w:r>
    </w:p>
  </w:footnote>
  <w:footnote w:id="85">
    <w:p w14:paraId="21A387D4" w14:textId="78CAF25E" w:rsidR="00D21782" w:rsidRPr="001F4317" w:rsidRDefault="00D21782"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La transmisibilidad a través de cesiones de </w:t>
      </w:r>
      <w:r w:rsidR="002C0B89" w:rsidRPr="001F4317">
        <w:rPr>
          <w:rFonts w:asciiTheme="minorHAnsi" w:hAnsiTheme="minorHAnsi" w:cstheme="minorHAnsi"/>
          <w:szCs w:val="20"/>
        </w:rPr>
        <w:t>contrato</w:t>
      </w:r>
      <w:r w:rsidRPr="001F4317">
        <w:rPr>
          <w:rFonts w:asciiTheme="minorHAnsi" w:hAnsiTheme="minorHAnsi" w:cstheme="minorHAnsi"/>
          <w:szCs w:val="20"/>
        </w:rPr>
        <w:t xml:space="preserve"> determina que el emisor no tenga que acudir a una plataforma de negociación, </w:t>
      </w:r>
      <w:r w:rsidR="002C0B89" w:rsidRPr="001F4317">
        <w:rPr>
          <w:rFonts w:asciiTheme="minorHAnsi" w:hAnsiTheme="minorHAnsi" w:cstheme="minorHAnsi"/>
          <w:szCs w:val="20"/>
        </w:rPr>
        <w:t xml:space="preserve">en cuyo caso no sería posible </w:t>
      </w:r>
      <w:r w:rsidRPr="001F4317">
        <w:rPr>
          <w:rFonts w:asciiTheme="minorHAnsi" w:hAnsiTheme="minorHAnsi" w:cstheme="minorHAnsi"/>
          <w:szCs w:val="20"/>
        </w:rPr>
        <w:t>acogerse al régimen de excepciones de la emisión (</w:t>
      </w:r>
      <w:r w:rsidR="00430C68" w:rsidRPr="001F4317">
        <w:rPr>
          <w:rFonts w:asciiTheme="minorHAnsi" w:hAnsiTheme="minorHAnsi" w:cstheme="minorHAnsi"/>
          <w:szCs w:val="20"/>
        </w:rPr>
        <w:t xml:space="preserve">art. </w:t>
      </w:r>
      <w:r w:rsidRPr="001F4317">
        <w:rPr>
          <w:rFonts w:asciiTheme="minorHAnsi" w:hAnsiTheme="minorHAnsi" w:cstheme="minorHAnsi"/>
          <w:szCs w:val="20"/>
        </w:rPr>
        <w:t>4.4 MiCA) y de la autorización como proveedor de servicios de criptoactivos (</w:t>
      </w:r>
      <w:r w:rsidR="00430C68" w:rsidRPr="001F4317">
        <w:rPr>
          <w:rFonts w:asciiTheme="minorHAnsi" w:hAnsiTheme="minorHAnsi" w:cstheme="minorHAnsi"/>
          <w:szCs w:val="20"/>
        </w:rPr>
        <w:t xml:space="preserve">art. </w:t>
      </w:r>
      <w:r w:rsidRPr="001F4317">
        <w:rPr>
          <w:rFonts w:asciiTheme="minorHAnsi" w:hAnsiTheme="minorHAnsi" w:cstheme="minorHAnsi"/>
          <w:szCs w:val="20"/>
        </w:rPr>
        <w:t>59 MiCA).</w:t>
      </w:r>
      <w:r w:rsidR="00EC4967" w:rsidRPr="001F4317">
        <w:rPr>
          <w:rFonts w:asciiTheme="minorHAnsi" w:hAnsiTheme="minorHAnsi" w:cstheme="minorHAnsi"/>
          <w:szCs w:val="20"/>
        </w:rPr>
        <w:t xml:space="preserve"> En todo caso, los emisores deberán actuar con imparcialidad, honestidad, profesionalidad; deberán comunicarse de modo claro y no engañoso; prevendrán, detectarán, gestionarán y comunicarán todo conflicto de intereses y mantendrán sus sistemas y protocolos de acceso seguro en conformidad con los estándares pertinentes</w:t>
      </w:r>
      <w:r w:rsidR="00BA2417" w:rsidRPr="001F4317">
        <w:rPr>
          <w:rFonts w:asciiTheme="minorHAnsi" w:hAnsiTheme="minorHAnsi" w:cstheme="minorHAnsi"/>
          <w:szCs w:val="20"/>
        </w:rPr>
        <w:t xml:space="preserve"> (</w:t>
      </w:r>
      <w:r w:rsidR="00430C68" w:rsidRPr="001F4317">
        <w:rPr>
          <w:rFonts w:asciiTheme="minorHAnsi" w:hAnsiTheme="minorHAnsi" w:cstheme="minorHAnsi"/>
          <w:szCs w:val="20"/>
        </w:rPr>
        <w:t>arts.</w:t>
      </w:r>
      <w:r w:rsidR="00BA2417" w:rsidRPr="001F4317">
        <w:rPr>
          <w:rFonts w:asciiTheme="minorHAnsi" w:hAnsiTheme="minorHAnsi" w:cstheme="minorHAnsi"/>
          <w:szCs w:val="20"/>
        </w:rPr>
        <w:t>7 y 14 MiCA)</w:t>
      </w:r>
      <w:r w:rsidR="007F0FFC" w:rsidRPr="001F4317">
        <w:rPr>
          <w:rFonts w:asciiTheme="minorHAnsi" w:hAnsiTheme="minorHAnsi" w:cstheme="minorHAnsi"/>
          <w:szCs w:val="20"/>
        </w:rPr>
        <w:t>.</w:t>
      </w:r>
    </w:p>
  </w:footnote>
  <w:footnote w:id="86">
    <w:p w14:paraId="79907810" w14:textId="6F4C9927" w:rsidR="00941F56" w:rsidRPr="001F4317" w:rsidRDefault="00941F56"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r w:rsidR="00872116" w:rsidRPr="001F4317">
        <w:rPr>
          <w:rFonts w:asciiTheme="minorHAnsi" w:hAnsiTheme="minorHAnsi" w:cstheme="minorHAnsi"/>
          <w:szCs w:val="20"/>
        </w:rPr>
        <w:t>L</w:t>
      </w:r>
      <w:r w:rsidRPr="001F4317">
        <w:rPr>
          <w:rFonts w:asciiTheme="minorHAnsi" w:hAnsiTheme="minorHAnsi" w:cstheme="minorHAnsi"/>
          <w:szCs w:val="20"/>
        </w:rPr>
        <w:t>a comparación entre los artículos 2 LMVSI y el 3 del Reglamento Piloto evidencia que el legislador español permite la tokenización de cualquier instrumento financiero, sin limitación tipológica o económica.</w:t>
      </w:r>
      <w:r w:rsidR="00132A0C" w:rsidRPr="001F4317">
        <w:rPr>
          <w:rFonts w:asciiTheme="minorHAnsi" w:hAnsiTheme="minorHAnsi" w:cstheme="minorHAnsi"/>
          <w:szCs w:val="20"/>
        </w:rPr>
        <w:t xml:space="preserve"> Sin embargo, </w:t>
      </w:r>
      <w:r w:rsidR="00B1693C" w:rsidRPr="001F4317">
        <w:rPr>
          <w:rFonts w:asciiTheme="minorHAnsi" w:hAnsiTheme="minorHAnsi" w:cstheme="minorHAnsi"/>
          <w:szCs w:val="20"/>
        </w:rPr>
        <w:t xml:space="preserve">se excluye la posibilidad de que estos tokens puedan negociarse en un mercado secundario más allá de las posibilidades que otorga el </w:t>
      </w:r>
      <w:r w:rsidR="006357FE" w:rsidRPr="001F4317">
        <w:rPr>
          <w:rFonts w:asciiTheme="minorHAnsi" w:hAnsiTheme="minorHAnsi" w:cstheme="minorHAnsi"/>
          <w:szCs w:val="20"/>
        </w:rPr>
        <w:t>Reglamento</w:t>
      </w:r>
      <w:r w:rsidR="00B1693C" w:rsidRPr="001F4317">
        <w:rPr>
          <w:rFonts w:asciiTheme="minorHAnsi" w:hAnsiTheme="minorHAnsi" w:cstheme="minorHAnsi"/>
          <w:szCs w:val="20"/>
        </w:rPr>
        <w:t xml:space="preserve"> Piloto. Cfr. </w:t>
      </w:r>
      <w:bookmarkStart w:id="48" w:name="_Hlk172567187"/>
      <w:r w:rsidR="00B1693C" w:rsidRPr="001F4317">
        <w:rPr>
          <w:rFonts w:asciiTheme="minorHAnsi" w:hAnsiTheme="minorHAnsi" w:cstheme="minorHAnsi"/>
          <w:smallCaps/>
          <w:szCs w:val="20"/>
        </w:rPr>
        <w:t>Muñoz García</w:t>
      </w:r>
      <w:r w:rsidR="00B1693C" w:rsidRPr="001F4317">
        <w:rPr>
          <w:rFonts w:asciiTheme="minorHAnsi" w:hAnsiTheme="minorHAnsi" w:cstheme="minorHAnsi"/>
          <w:szCs w:val="20"/>
        </w:rPr>
        <w:t>,</w:t>
      </w:r>
      <w:r w:rsidR="00B1693C" w:rsidRPr="001F4317">
        <w:rPr>
          <w:rFonts w:asciiTheme="minorHAnsi" w:hAnsiTheme="minorHAnsi" w:cstheme="minorHAnsi"/>
          <w:i/>
          <w:iCs/>
          <w:szCs w:val="20"/>
        </w:rPr>
        <w:t xml:space="preserve"> </w:t>
      </w:r>
      <w:r w:rsidR="00A46600" w:rsidRPr="001F4317">
        <w:rPr>
          <w:rFonts w:asciiTheme="minorHAnsi" w:hAnsiTheme="minorHAnsi" w:cstheme="minorHAnsi"/>
          <w:szCs w:val="20"/>
        </w:rPr>
        <w:t xml:space="preserve">Alfredo, </w:t>
      </w:r>
      <w:r w:rsidR="00B1693C" w:rsidRPr="001F4317">
        <w:rPr>
          <w:rFonts w:asciiTheme="minorHAnsi" w:hAnsiTheme="minorHAnsi" w:cstheme="minorHAnsi"/>
          <w:szCs w:val="20"/>
        </w:rPr>
        <w:t xml:space="preserve">“La tokenización de instrumentos financieros en la Ley de los Mercados de Valores y de los Servicios de Inversión”, </w:t>
      </w:r>
      <w:r w:rsidR="00B1693C" w:rsidRPr="001F4317">
        <w:rPr>
          <w:rFonts w:asciiTheme="minorHAnsi" w:hAnsiTheme="minorHAnsi" w:cstheme="minorHAnsi"/>
          <w:i/>
          <w:iCs/>
          <w:szCs w:val="20"/>
        </w:rPr>
        <w:t xml:space="preserve">Revista de </w:t>
      </w:r>
      <w:r w:rsidR="00092E29" w:rsidRPr="001F4317">
        <w:rPr>
          <w:rFonts w:asciiTheme="minorHAnsi" w:hAnsiTheme="minorHAnsi" w:cstheme="minorHAnsi"/>
          <w:i/>
          <w:iCs/>
          <w:szCs w:val="20"/>
        </w:rPr>
        <w:t xml:space="preserve">Derecho Bancario </w:t>
      </w:r>
      <w:r w:rsidR="00B1693C" w:rsidRPr="001F4317">
        <w:rPr>
          <w:rFonts w:asciiTheme="minorHAnsi" w:hAnsiTheme="minorHAnsi" w:cstheme="minorHAnsi"/>
          <w:i/>
          <w:iCs/>
          <w:szCs w:val="20"/>
        </w:rPr>
        <w:t xml:space="preserve">y </w:t>
      </w:r>
      <w:r w:rsidR="00092E29" w:rsidRPr="001F4317">
        <w:rPr>
          <w:rFonts w:asciiTheme="minorHAnsi" w:hAnsiTheme="minorHAnsi" w:cstheme="minorHAnsi"/>
          <w:i/>
          <w:iCs/>
          <w:szCs w:val="20"/>
        </w:rPr>
        <w:t>Bursátil</w:t>
      </w:r>
      <w:r w:rsidR="00B1693C" w:rsidRPr="001F4317">
        <w:rPr>
          <w:rFonts w:asciiTheme="minorHAnsi" w:hAnsiTheme="minorHAnsi" w:cstheme="minorHAnsi"/>
          <w:szCs w:val="20"/>
        </w:rPr>
        <w:t>, núm. 170, 2023</w:t>
      </w:r>
      <w:bookmarkEnd w:id="48"/>
      <w:r w:rsidR="00B1693C" w:rsidRPr="001F4317">
        <w:rPr>
          <w:rFonts w:asciiTheme="minorHAnsi" w:hAnsiTheme="minorHAnsi" w:cstheme="minorHAnsi"/>
          <w:szCs w:val="20"/>
        </w:rPr>
        <w:t>, pgs. 120-122.</w:t>
      </w:r>
    </w:p>
  </w:footnote>
  <w:footnote w:id="87">
    <w:p w14:paraId="63C1B221" w14:textId="3642DCD3" w:rsidR="00EC1CA9" w:rsidRPr="001F4317" w:rsidRDefault="00EC1CA9"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La expresión registro distribuido no coincide, necesariamente, con </w:t>
      </w:r>
      <w:r w:rsidR="00F95521" w:rsidRPr="001F4317">
        <w:rPr>
          <w:rFonts w:asciiTheme="minorHAnsi" w:hAnsiTheme="minorHAnsi" w:cstheme="minorHAnsi"/>
          <w:szCs w:val="20"/>
        </w:rPr>
        <w:t>un</w:t>
      </w:r>
      <w:r w:rsidRPr="001F4317">
        <w:rPr>
          <w:rFonts w:asciiTheme="minorHAnsi" w:hAnsiTheme="minorHAnsi" w:cstheme="minorHAnsi"/>
          <w:szCs w:val="20"/>
        </w:rPr>
        <w:t>a cadena de bloques. Blockchain es una implementación específica de un sistema de registro distribuido con características definidas como la organización en bloques, el empleo de criptografía asimétrica y de mecanismos de consenso específicos. Los sistemas de registro distribuido, por el contrario, son una categoría más amplia que puede adoptar diversas formas y mecanismos para distribuir y validar datos</w:t>
      </w:r>
      <w:r w:rsidR="00A46600" w:rsidRPr="001F4317">
        <w:rPr>
          <w:rFonts w:asciiTheme="minorHAnsi" w:hAnsiTheme="minorHAnsi" w:cstheme="minorHAnsi"/>
          <w:szCs w:val="20"/>
        </w:rPr>
        <w:t>.</w:t>
      </w:r>
    </w:p>
  </w:footnote>
  <w:footnote w:id="88">
    <w:p w14:paraId="57053C2E" w14:textId="4F6082ED" w:rsidR="000F4D2A" w:rsidRPr="001F4317" w:rsidRDefault="000F4D2A" w:rsidP="001F4317">
      <w:pPr>
        <w:autoSpaceDE w:val="0"/>
        <w:autoSpaceDN w:val="0"/>
        <w:adjustRightInd w:val="0"/>
        <w:spacing w:after="0" w:line="240" w:lineRule="auto"/>
        <w:ind w:firstLine="0"/>
        <w:rPr>
          <w:rFonts w:asciiTheme="minorHAnsi" w:hAnsiTheme="minorHAnsi" w:cstheme="minorHAnsi"/>
          <w:color w:val="000000"/>
          <w:sz w:val="20"/>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 w:val="20"/>
          <w:szCs w:val="20"/>
        </w:rPr>
        <w:t xml:space="preserve"> </w:t>
      </w:r>
      <w:proofErr w:type="spellStart"/>
      <w:r w:rsidRPr="001F4317">
        <w:rPr>
          <w:rFonts w:asciiTheme="minorHAnsi" w:hAnsiTheme="minorHAnsi" w:cstheme="minorHAnsi"/>
          <w:smallCaps/>
          <w:color w:val="000000"/>
          <w:sz w:val="20"/>
          <w:szCs w:val="20"/>
        </w:rPr>
        <w:t>Palá</w:t>
      </w:r>
      <w:proofErr w:type="spellEnd"/>
      <w:r w:rsidRPr="001F4317">
        <w:rPr>
          <w:rFonts w:asciiTheme="minorHAnsi" w:hAnsiTheme="minorHAnsi" w:cstheme="minorHAnsi"/>
          <w:smallCaps/>
          <w:color w:val="000000"/>
          <w:sz w:val="20"/>
          <w:szCs w:val="20"/>
        </w:rPr>
        <w:t xml:space="preserve"> Laguna</w:t>
      </w:r>
      <w:r w:rsidRPr="001F4317">
        <w:rPr>
          <w:rFonts w:asciiTheme="minorHAnsi" w:hAnsiTheme="minorHAnsi" w:cstheme="minorHAnsi"/>
          <w:color w:val="000000"/>
          <w:sz w:val="20"/>
          <w:szCs w:val="20"/>
        </w:rPr>
        <w:t>, “Los criptoactivos valores negociables como nueva categoría de los derechos-valor”, pgs. 2-3.</w:t>
      </w:r>
    </w:p>
  </w:footnote>
  <w:footnote w:id="89">
    <w:p w14:paraId="535A4E87" w14:textId="4CDC8FC3" w:rsidR="001E4C16" w:rsidRPr="001F4317" w:rsidRDefault="001E4C16"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w:t>
      </w:r>
      <w:r w:rsidR="000A3096" w:rsidRPr="001F4317">
        <w:rPr>
          <w:rFonts w:asciiTheme="minorHAnsi" w:hAnsiTheme="minorHAnsi" w:cstheme="minorHAnsi"/>
          <w:szCs w:val="20"/>
        </w:rPr>
        <w:t xml:space="preserve">El Reglamento UE 2022/858 ofrece un entorno regulatorio para este mercado secundario de </w:t>
      </w:r>
      <w:proofErr w:type="spellStart"/>
      <w:r w:rsidR="000A3096" w:rsidRPr="001F4317">
        <w:rPr>
          <w:rFonts w:asciiTheme="minorHAnsi" w:hAnsiTheme="minorHAnsi" w:cstheme="minorHAnsi"/>
          <w:szCs w:val="20"/>
        </w:rPr>
        <w:t>criptovalores</w:t>
      </w:r>
      <w:proofErr w:type="spellEnd"/>
      <w:r w:rsidRPr="001F4317">
        <w:rPr>
          <w:rFonts w:asciiTheme="minorHAnsi" w:hAnsiTheme="minorHAnsi" w:cstheme="minorHAnsi"/>
          <w:szCs w:val="20"/>
        </w:rPr>
        <w:t xml:space="preserve">. </w:t>
      </w:r>
      <w:r w:rsidR="00587D17" w:rsidRPr="001F4317">
        <w:rPr>
          <w:rFonts w:asciiTheme="minorHAnsi" w:hAnsiTheme="minorHAnsi" w:cstheme="minorHAnsi"/>
          <w:szCs w:val="20"/>
        </w:rPr>
        <w:t>La</w:t>
      </w:r>
      <w:r w:rsidR="00B36377" w:rsidRPr="001F4317">
        <w:rPr>
          <w:rFonts w:asciiTheme="minorHAnsi" w:hAnsiTheme="minorHAnsi" w:cstheme="minorHAnsi"/>
          <w:szCs w:val="20"/>
        </w:rPr>
        <w:t xml:space="preserve"> Ley 7/2020, de 13 de noviembre para la transformación digital del sistema financiero</w:t>
      </w:r>
      <w:r w:rsidR="00587D17" w:rsidRPr="001F4317">
        <w:rPr>
          <w:rFonts w:asciiTheme="minorHAnsi" w:hAnsiTheme="minorHAnsi" w:cstheme="minorHAnsi"/>
          <w:szCs w:val="20"/>
        </w:rPr>
        <w:t xml:space="preserve"> permite </w:t>
      </w:r>
      <w:r w:rsidR="007D2A07" w:rsidRPr="001F4317">
        <w:rPr>
          <w:rFonts w:asciiTheme="minorHAnsi" w:hAnsiTheme="minorHAnsi" w:cstheme="minorHAnsi"/>
          <w:szCs w:val="20"/>
        </w:rPr>
        <w:t xml:space="preserve">el </w:t>
      </w:r>
      <w:r w:rsidR="000F36CE" w:rsidRPr="001F4317">
        <w:rPr>
          <w:rFonts w:asciiTheme="minorHAnsi" w:hAnsiTheme="minorHAnsi" w:cstheme="minorHAnsi"/>
          <w:szCs w:val="20"/>
        </w:rPr>
        <w:t>diseño</w:t>
      </w:r>
      <w:r w:rsidR="007D2A07" w:rsidRPr="001F4317">
        <w:rPr>
          <w:rFonts w:asciiTheme="minorHAnsi" w:hAnsiTheme="minorHAnsi" w:cstheme="minorHAnsi"/>
          <w:szCs w:val="20"/>
        </w:rPr>
        <w:t xml:space="preserve"> de un </w:t>
      </w:r>
      <w:proofErr w:type="spellStart"/>
      <w:r w:rsidRPr="001F4317">
        <w:rPr>
          <w:rFonts w:asciiTheme="minorHAnsi" w:hAnsiTheme="minorHAnsi" w:cstheme="minorHAnsi"/>
          <w:i/>
          <w:iCs/>
          <w:szCs w:val="20"/>
        </w:rPr>
        <w:t>sandbox</w:t>
      </w:r>
      <w:proofErr w:type="spellEnd"/>
      <w:r w:rsidRPr="001F4317">
        <w:rPr>
          <w:rFonts w:asciiTheme="minorHAnsi" w:hAnsiTheme="minorHAnsi" w:cstheme="minorHAnsi"/>
          <w:szCs w:val="20"/>
        </w:rPr>
        <w:t xml:space="preserve"> financiero </w:t>
      </w:r>
      <w:r w:rsidR="007D2A07" w:rsidRPr="001F4317">
        <w:rPr>
          <w:rFonts w:asciiTheme="minorHAnsi" w:hAnsiTheme="minorHAnsi" w:cstheme="minorHAnsi"/>
          <w:szCs w:val="20"/>
        </w:rPr>
        <w:t>que facilit</w:t>
      </w:r>
      <w:r w:rsidR="008B378C" w:rsidRPr="001F4317">
        <w:rPr>
          <w:rFonts w:asciiTheme="minorHAnsi" w:hAnsiTheme="minorHAnsi" w:cstheme="minorHAnsi"/>
          <w:szCs w:val="20"/>
        </w:rPr>
        <w:t>e</w:t>
      </w:r>
      <w:r w:rsidR="007D2A07" w:rsidRPr="001F4317">
        <w:rPr>
          <w:rFonts w:asciiTheme="minorHAnsi" w:hAnsiTheme="minorHAnsi" w:cstheme="minorHAnsi"/>
          <w:szCs w:val="20"/>
        </w:rPr>
        <w:t xml:space="preserve"> exenciones normativas para </w:t>
      </w:r>
      <w:r w:rsidR="008B378C" w:rsidRPr="001F4317">
        <w:rPr>
          <w:rFonts w:asciiTheme="minorHAnsi" w:hAnsiTheme="minorHAnsi" w:cstheme="minorHAnsi"/>
          <w:szCs w:val="20"/>
        </w:rPr>
        <w:t>simplificar</w:t>
      </w:r>
      <w:r w:rsidR="007D2A07" w:rsidRPr="001F4317">
        <w:rPr>
          <w:rFonts w:asciiTheme="minorHAnsi" w:hAnsiTheme="minorHAnsi" w:cstheme="minorHAnsi"/>
          <w:szCs w:val="20"/>
        </w:rPr>
        <w:t xml:space="preserve"> la implantación y desarrollo de este mercado secundario.</w:t>
      </w:r>
    </w:p>
  </w:footnote>
  <w:footnote w:id="90">
    <w:p w14:paraId="3629676D" w14:textId="17AB481A" w:rsidR="00545E9F" w:rsidRPr="001F4317" w:rsidRDefault="00545E9F"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En torno a las dificultades para extender el régimen previsto para los valores representados en anotaciones en cuenta a los valores tokenizados, cfr. </w:t>
      </w:r>
      <w:r w:rsidRPr="001F4317">
        <w:rPr>
          <w:rFonts w:asciiTheme="minorHAnsi" w:hAnsiTheme="minorHAnsi" w:cstheme="minorHAnsi"/>
          <w:smallCaps/>
          <w:szCs w:val="20"/>
        </w:rPr>
        <w:t>Recalde Castells</w:t>
      </w:r>
      <w:r w:rsidRPr="001F4317">
        <w:rPr>
          <w:rFonts w:asciiTheme="minorHAnsi" w:hAnsiTheme="minorHAnsi" w:cstheme="minorHAnsi"/>
          <w:szCs w:val="20"/>
        </w:rPr>
        <w:t>, “Tokens financieros: ¿cuándo importa el «soporte»?”, pgs. 17-21.</w:t>
      </w:r>
    </w:p>
  </w:footnote>
  <w:footnote w:id="91">
    <w:p w14:paraId="592CB61D" w14:textId="72781EEA" w:rsidR="00D4308A" w:rsidRPr="001F4317" w:rsidRDefault="00D4308A"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En sentido parecido, cfr. </w:t>
      </w:r>
      <w:bookmarkStart w:id="49" w:name="_Hlk172567241"/>
      <w:r w:rsidRPr="001F4317">
        <w:rPr>
          <w:rFonts w:asciiTheme="minorHAnsi" w:hAnsiTheme="minorHAnsi" w:cstheme="minorHAnsi"/>
          <w:smallCaps/>
          <w:szCs w:val="20"/>
        </w:rPr>
        <w:t>Madrid Parra,</w:t>
      </w:r>
      <w:r w:rsidRPr="001F4317">
        <w:rPr>
          <w:rFonts w:asciiTheme="minorHAnsi" w:hAnsiTheme="minorHAnsi" w:cstheme="minorHAnsi"/>
          <w:szCs w:val="20"/>
        </w:rPr>
        <w:t xml:space="preserve"> </w:t>
      </w:r>
      <w:r w:rsidR="00A46600" w:rsidRPr="001F4317">
        <w:rPr>
          <w:rFonts w:asciiTheme="minorHAnsi" w:hAnsiTheme="minorHAnsi" w:cstheme="minorHAnsi"/>
          <w:szCs w:val="20"/>
        </w:rPr>
        <w:t xml:space="preserve">Agustín, </w:t>
      </w:r>
      <w:r w:rsidRPr="001F4317">
        <w:rPr>
          <w:rFonts w:asciiTheme="minorHAnsi" w:hAnsiTheme="minorHAnsi" w:cstheme="minorHAnsi"/>
          <w:szCs w:val="20"/>
        </w:rPr>
        <w:t xml:space="preserve">“Regulación inicial de los </w:t>
      </w:r>
      <w:proofErr w:type="spellStart"/>
      <w:r w:rsidRPr="001F4317">
        <w:rPr>
          <w:rFonts w:asciiTheme="minorHAnsi" w:hAnsiTheme="minorHAnsi" w:cstheme="minorHAnsi"/>
          <w:szCs w:val="20"/>
        </w:rPr>
        <w:t>criptovalores</w:t>
      </w:r>
      <w:proofErr w:type="spellEnd"/>
      <w:r w:rsidRPr="001F4317">
        <w:rPr>
          <w:rFonts w:asciiTheme="minorHAnsi" w:hAnsiTheme="minorHAnsi" w:cstheme="minorHAnsi"/>
          <w:szCs w:val="20"/>
        </w:rPr>
        <w:t xml:space="preserve">”, </w:t>
      </w:r>
      <w:r w:rsidRPr="001F4317">
        <w:rPr>
          <w:rFonts w:asciiTheme="minorHAnsi" w:hAnsiTheme="minorHAnsi" w:cstheme="minorHAnsi"/>
          <w:i/>
          <w:iCs/>
          <w:szCs w:val="20"/>
        </w:rPr>
        <w:t>Revista de Derecho del Sistema Financiero</w:t>
      </w:r>
      <w:r w:rsidRPr="001F4317">
        <w:rPr>
          <w:rFonts w:asciiTheme="minorHAnsi" w:hAnsiTheme="minorHAnsi" w:cstheme="minorHAnsi"/>
          <w:szCs w:val="20"/>
        </w:rPr>
        <w:t>, núm. 6, 2023</w:t>
      </w:r>
      <w:bookmarkEnd w:id="49"/>
      <w:r w:rsidRPr="001F4317">
        <w:rPr>
          <w:rFonts w:asciiTheme="minorHAnsi" w:hAnsiTheme="minorHAnsi" w:cstheme="minorHAnsi"/>
          <w:szCs w:val="20"/>
        </w:rPr>
        <w:t>, pg</w:t>
      </w:r>
      <w:r w:rsidR="00307411" w:rsidRPr="001F4317">
        <w:rPr>
          <w:rFonts w:asciiTheme="minorHAnsi" w:hAnsiTheme="minorHAnsi" w:cstheme="minorHAnsi"/>
          <w:szCs w:val="20"/>
        </w:rPr>
        <w:t>s</w:t>
      </w:r>
      <w:r w:rsidRPr="001F4317">
        <w:rPr>
          <w:rFonts w:asciiTheme="minorHAnsi" w:hAnsiTheme="minorHAnsi" w:cstheme="minorHAnsi"/>
          <w:szCs w:val="20"/>
        </w:rPr>
        <w:t xml:space="preserve">. </w:t>
      </w:r>
      <w:r w:rsidR="008424D3" w:rsidRPr="001F4317">
        <w:rPr>
          <w:rFonts w:asciiTheme="minorHAnsi" w:hAnsiTheme="minorHAnsi" w:cstheme="minorHAnsi"/>
          <w:szCs w:val="20"/>
        </w:rPr>
        <w:t>81</w:t>
      </w:r>
      <w:r w:rsidR="00307411" w:rsidRPr="001F4317">
        <w:rPr>
          <w:rFonts w:asciiTheme="minorHAnsi" w:hAnsiTheme="minorHAnsi" w:cstheme="minorHAnsi"/>
          <w:szCs w:val="20"/>
        </w:rPr>
        <w:t xml:space="preserve"> y </w:t>
      </w:r>
      <w:r w:rsidR="008424D3" w:rsidRPr="001F4317">
        <w:rPr>
          <w:rFonts w:asciiTheme="minorHAnsi" w:hAnsiTheme="minorHAnsi" w:cstheme="minorHAnsi"/>
          <w:szCs w:val="20"/>
        </w:rPr>
        <w:t>100</w:t>
      </w:r>
      <w:r w:rsidRPr="001F4317">
        <w:rPr>
          <w:rFonts w:asciiTheme="minorHAnsi" w:hAnsiTheme="minorHAnsi" w:cstheme="minorHAnsi"/>
          <w:szCs w:val="20"/>
        </w:rPr>
        <w:t>.</w:t>
      </w:r>
    </w:p>
  </w:footnote>
  <w:footnote w:id="92">
    <w:p w14:paraId="05AC1037" w14:textId="659FD37C" w:rsidR="00DC7FA5" w:rsidRPr="001F4317" w:rsidRDefault="00DC7FA5"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En caso de tratarse de valores negociables tokenizados admitidos a negociación, la identificación de los titulares recaerá sobre las infraestructuras de mercado autorizadas por la CNMV (</w:t>
      </w:r>
      <w:r w:rsidR="00430C68" w:rsidRPr="001F4317">
        <w:rPr>
          <w:rFonts w:asciiTheme="minorHAnsi" w:hAnsiTheme="minorHAnsi" w:cstheme="minorHAnsi"/>
          <w:szCs w:val="20"/>
        </w:rPr>
        <w:t xml:space="preserve">art. </w:t>
      </w:r>
      <w:r w:rsidRPr="001F4317">
        <w:rPr>
          <w:rFonts w:asciiTheme="minorHAnsi" w:hAnsiTheme="minorHAnsi" w:cstheme="minorHAnsi"/>
          <w:szCs w:val="20"/>
        </w:rPr>
        <w:t>8.5 LMVSI). La designación de las entidades responsables de la inscripción y registro deberá realizarse en el documento de la emisión, pudiendo desempeñar esta función el propio emisor o un tercero. Por mandato legal estas entidades deberán ser agencias de valores, sociedades de valores o entidades de crédito (</w:t>
      </w:r>
      <w:r w:rsidR="00430C68" w:rsidRPr="001F4317">
        <w:rPr>
          <w:rFonts w:asciiTheme="minorHAnsi" w:hAnsiTheme="minorHAnsi" w:cstheme="minorHAnsi"/>
          <w:szCs w:val="20"/>
        </w:rPr>
        <w:t xml:space="preserve">arts. </w:t>
      </w:r>
      <w:r w:rsidRPr="001F4317">
        <w:rPr>
          <w:rFonts w:asciiTheme="minorHAnsi" w:hAnsiTheme="minorHAnsi" w:cstheme="minorHAnsi"/>
          <w:szCs w:val="20"/>
        </w:rPr>
        <w:t>8.4 y 126.a) LMVSI). La CNMV cuenta con un registro de dichas entidades tras el Real Decreto 815/2023, de 8 de noviembre.</w:t>
      </w:r>
    </w:p>
  </w:footnote>
  <w:footnote w:id="93">
    <w:p w14:paraId="782A9016" w14:textId="53F5FF7A" w:rsidR="00C62E68" w:rsidRPr="001F4317" w:rsidRDefault="00C62E68" w:rsidP="001F4317">
      <w:pPr>
        <w:pStyle w:val="Textonotapie"/>
        <w:rPr>
          <w:rFonts w:asciiTheme="minorHAnsi" w:hAnsiTheme="minorHAnsi" w:cstheme="minorHAnsi"/>
          <w:szCs w:val="20"/>
        </w:rPr>
      </w:pPr>
      <w:r w:rsidRPr="001F4317">
        <w:rPr>
          <w:rStyle w:val="Refdenotaalpie"/>
          <w:rFonts w:asciiTheme="minorHAnsi" w:hAnsiTheme="minorHAnsi" w:cstheme="minorHAnsi"/>
          <w:sz w:val="20"/>
          <w:szCs w:val="20"/>
        </w:rPr>
        <w:footnoteRef/>
      </w:r>
      <w:r w:rsidRPr="001F4317">
        <w:rPr>
          <w:rFonts w:asciiTheme="minorHAnsi" w:hAnsiTheme="minorHAnsi" w:cstheme="minorHAnsi"/>
          <w:szCs w:val="20"/>
        </w:rPr>
        <w:t xml:space="preserve"> La Ley ha sido desarrollada por cuatro Reales Decretos de 8 de noviembre de 2023. Sin embargo, no explicitan cuestiones vinculadas </w:t>
      </w:r>
      <w:r w:rsidR="004C6D9B" w:rsidRPr="001F4317">
        <w:rPr>
          <w:rFonts w:asciiTheme="minorHAnsi" w:hAnsiTheme="minorHAnsi" w:cstheme="minorHAnsi"/>
          <w:szCs w:val="20"/>
        </w:rPr>
        <w:t xml:space="preserve">con </w:t>
      </w:r>
      <w:r w:rsidRPr="001F4317">
        <w:rPr>
          <w:rFonts w:asciiTheme="minorHAnsi" w:hAnsiTheme="minorHAnsi" w:cstheme="minorHAnsi"/>
          <w:szCs w:val="20"/>
        </w:rPr>
        <w:t>los valores negociales representados en sistemas de registro distribuido</w:t>
      </w:r>
      <w:r w:rsidR="008D698B" w:rsidRPr="001F4317">
        <w:rPr>
          <w:rFonts w:asciiTheme="minorHAnsi" w:hAnsiTheme="minorHAnsi" w:cstheme="minorHAnsi"/>
          <w:szCs w:val="20"/>
        </w:rPr>
        <w:t>, tal y</w:t>
      </w:r>
      <w:r w:rsidR="0021343D" w:rsidRPr="001F4317">
        <w:rPr>
          <w:rFonts w:asciiTheme="minorHAnsi" w:hAnsiTheme="minorHAnsi" w:cstheme="minorHAnsi"/>
          <w:szCs w:val="20"/>
        </w:rPr>
        <w:t xml:space="preserve"> como requiere el artículo 2.3.II LMVSI.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E43D1"/>
    <w:multiLevelType w:val="multilevel"/>
    <w:tmpl w:val="49024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1E31467"/>
    <w:multiLevelType w:val="multilevel"/>
    <w:tmpl w:val="E888320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00372D9"/>
    <w:multiLevelType w:val="hybridMultilevel"/>
    <w:tmpl w:val="59BE55FC"/>
    <w:lvl w:ilvl="0" w:tplc="A3B2891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1B6413E6"/>
    <w:multiLevelType w:val="multilevel"/>
    <w:tmpl w:val="49024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E9A2E73"/>
    <w:multiLevelType w:val="multilevel"/>
    <w:tmpl w:val="35F67FB0"/>
    <w:lvl w:ilvl="0">
      <w:start w:val="1"/>
      <w:numFmt w:val="upperRoman"/>
      <w:lvlText w:val="%1"/>
      <w:lvlJc w:val="left"/>
      <w:pPr>
        <w:ind w:left="360" w:hanging="360"/>
      </w:pPr>
      <w:rPr>
        <w:rFonts w:hint="default"/>
      </w:rPr>
    </w:lvl>
    <w:lvl w:ilvl="1">
      <w:start w:val="1"/>
      <w:numFmt w:val="decimal"/>
      <w:lvlText w:val="%2."/>
      <w:lvlJc w:val="left"/>
      <w:pPr>
        <w:ind w:left="357" w:hanging="357"/>
      </w:pPr>
      <w:rPr>
        <w:rFonts w:hint="default"/>
      </w:rPr>
    </w:lvl>
    <w:lvl w:ilvl="2">
      <w:start w:val="1"/>
      <w:numFmt w:val="decimal"/>
      <w:lvlText w:val="%2.%3."/>
      <w:lvlJc w:val="left"/>
      <w:pPr>
        <w:ind w:left="0" w:firstLine="357"/>
      </w:pPr>
      <w:rPr>
        <w:rFonts w:hint="default"/>
      </w:rPr>
    </w:lvl>
    <w:lvl w:ilvl="3">
      <w:start w:val="1"/>
      <w:numFmt w:val="upperLetter"/>
      <w:lvlText w:val="%4)"/>
      <w:lvlJc w:val="left"/>
      <w:pPr>
        <w:ind w:left="720" w:hanging="363"/>
      </w:pPr>
      <w:rPr>
        <w:rFonts w:hint="default"/>
      </w:rPr>
    </w:lvl>
    <w:lvl w:ilvl="4">
      <w:start w:val="1"/>
      <w:numFmt w:val="lowerLetter"/>
      <w:lvlText w:val="%5)"/>
      <w:lvlJc w:val="left"/>
      <w:pPr>
        <w:ind w:left="1077" w:hanging="35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4809BB"/>
    <w:multiLevelType w:val="multilevel"/>
    <w:tmpl w:val="FEB6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B9322E"/>
    <w:multiLevelType w:val="multilevel"/>
    <w:tmpl w:val="7B54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87208B"/>
    <w:multiLevelType w:val="hybridMultilevel"/>
    <w:tmpl w:val="1EFC2F8E"/>
    <w:lvl w:ilvl="0" w:tplc="D70A513E">
      <w:start w:val="1"/>
      <w:numFmt w:val="decimal"/>
      <w:lvlText w:val="%1."/>
      <w:lvlJc w:val="left"/>
      <w:pPr>
        <w:ind w:left="1429" w:hanging="360"/>
      </w:pPr>
      <w:rPr>
        <w:rFonts w:cs="Times New Roman"/>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8" w15:restartNumberingAfterBreak="0">
    <w:nsid w:val="7C9C3DC8"/>
    <w:multiLevelType w:val="multilevel"/>
    <w:tmpl w:val="E9842C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D3A7878"/>
    <w:multiLevelType w:val="multilevel"/>
    <w:tmpl w:val="D0386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8699093">
    <w:abstractNumId w:val="7"/>
  </w:num>
  <w:num w:numId="2" w16cid:durableId="16348559">
    <w:abstractNumId w:val="3"/>
  </w:num>
  <w:num w:numId="3" w16cid:durableId="1397319910">
    <w:abstractNumId w:val="8"/>
  </w:num>
  <w:num w:numId="4" w16cid:durableId="1058668966">
    <w:abstractNumId w:val="1"/>
  </w:num>
  <w:num w:numId="5" w16cid:durableId="390232288">
    <w:abstractNumId w:val="5"/>
  </w:num>
  <w:num w:numId="6" w16cid:durableId="1500851016">
    <w:abstractNumId w:val="0"/>
  </w:num>
  <w:num w:numId="7" w16cid:durableId="1875849999">
    <w:abstractNumId w:val="2"/>
  </w:num>
  <w:num w:numId="8" w16cid:durableId="1141385235">
    <w:abstractNumId w:val="9"/>
  </w:num>
  <w:num w:numId="9" w16cid:durableId="1429499885">
    <w:abstractNumId w:val="6"/>
  </w:num>
  <w:num w:numId="10" w16cid:durableId="1886287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1"/>
  <w:removePersonalInformation/>
  <w:removeDateAndTime/>
  <w:proofState w:spelling="clean" w:grammar="clean"/>
  <w:defaultTabStop w:val="708"/>
  <w:autoHyphenation/>
  <w:consecutiveHyphenLimit w:val="3"/>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7D4"/>
    <w:rsid w:val="00000F13"/>
    <w:rsid w:val="000014DE"/>
    <w:rsid w:val="00002E3B"/>
    <w:rsid w:val="00003A6B"/>
    <w:rsid w:val="000044AA"/>
    <w:rsid w:val="0000464C"/>
    <w:rsid w:val="0000471E"/>
    <w:rsid w:val="0000747D"/>
    <w:rsid w:val="000103CB"/>
    <w:rsid w:val="00011341"/>
    <w:rsid w:val="00012515"/>
    <w:rsid w:val="000129A4"/>
    <w:rsid w:val="00013663"/>
    <w:rsid w:val="00014312"/>
    <w:rsid w:val="00014501"/>
    <w:rsid w:val="00014B44"/>
    <w:rsid w:val="00015BD3"/>
    <w:rsid w:val="000176B7"/>
    <w:rsid w:val="00017C5D"/>
    <w:rsid w:val="00017F4E"/>
    <w:rsid w:val="00020ECB"/>
    <w:rsid w:val="00022EAE"/>
    <w:rsid w:val="00023A5B"/>
    <w:rsid w:val="000245D8"/>
    <w:rsid w:val="00024611"/>
    <w:rsid w:val="000251D7"/>
    <w:rsid w:val="00025D74"/>
    <w:rsid w:val="00025FAD"/>
    <w:rsid w:val="000264D9"/>
    <w:rsid w:val="00026F2A"/>
    <w:rsid w:val="0002755F"/>
    <w:rsid w:val="0003327B"/>
    <w:rsid w:val="00035BCB"/>
    <w:rsid w:val="00036ABB"/>
    <w:rsid w:val="00036DC4"/>
    <w:rsid w:val="0004112A"/>
    <w:rsid w:val="00041447"/>
    <w:rsid w:val="00042CEF"/>
    <w:rsid w:val="000437ED"/>
    <w:rsid w:val="000447D8"/>
    <w:rsid w:val="00045F0C"/>
    <w:rsid w:val="000463BD"/>
    <w:rsid w:val="00046E2F"/>
    <w:rsid w:val="00050E33"/>
    <w:rsid w:val="0005201E"/>
    <w:rsid w:val="0005233B"/>
    <w:rsid w:val="000538BD"/>
    <w:rsid w:val="0005477B"/>
    <w:rsid w:val="00056C28"/>
    <w:rsid w:val="00057C81"/>
    <w:rsid w:val="0006096B"/>
    <w:rsid w:val="00060F7A"/>
    <w:rsid w:val="00061061"/>
    <w:rsid w:val="00061BB6"/>
    <w:rsid w:val="00061F2B"/>
    <w:rsid w:val="0006209E"/>
    <w:rsid w:val="00062A10"/>
    <w:rsid w:val="00064778"/>
    <w:rsid w:val="00064ECC"/>
    <w:rsid w:val="000654B4"/>
    <w:rsid w:val="000675AC"/>
    <w:rsid w:val="000679D4"/>
    <w:rsid w:val="00067ADB"/>
    <w:rsid w:val="00070153"/>
    <w:rsid w:val="0007194E"/>
    <w:rsid w:val="00072307"/>
    <w:rsid w:val="000732E4"/>
    <w:rsid w:val="000735F2"/>
    <w:rsid w:val="00073729"/>
    <w:rsid w:val="00073759"/>
    <w:rsid w:val="0007405D"/>
    <w:rsid w:val="00075881"/>
    <w:rsid w:val="00075FD5"/>
    <w:rsid w:val="00077210"/>
    <w:rsid w:val="00077D79"/>
    <w:rsid w:val="000803DA"/>
    <w:rsid w:val="000814C3"/>
    <w:rsid w:val="00081FCC"/>
    <w:rsid w:val="00082E8A"/>
    <w:rsid w:val="00082FDE"/>
    <w:rsid w:val="00084707"/>
    <w:rsid w:val="000853A3"/>
    <w:rsid w:val="000859C4"/>
    <w:rsid w:val="00085D83"/>
    <w:rsid w:val="00086771"/>
    <w:rsid w:val="00086C6C"/>
    <w:rsid w:val="00087D2A"/>
    <w:rsid w:val="00090063"/>
    <w:rsid w:val="00092E29"/>
    <w:rsid w:val="00093DD8"/>
    <w:rsid w:val="00094898"/>
    <w:rsid w:val="000948E4"/>
    <w:rsid w:val="00094C7C"/>
    <w:rsid w:val="000960E8"/>
    <w:rsid w:val="00096207"/>
    <w:rsid w:val="0009635D"/>
    <w:rsid w:val="00096842"/>
    <w:rsid w:val="000977DE"/>
    <w:rsid w:val="000A07D6"/>
    <w:rsid w:val="000A0E25"/>
    <w:rsid w:val="000A1122"/>
    <w:rsid w:val="000A1637"/>
    <w:rsid w:val="000A1EB6"/>
    <w:rsid w:val="000A2259"/>
    <w:rsid w:val="000A2FE0"/>
    <w:rsid w:val="000A2FEC"/>
    <w:rsid w:val="000A3096"/>
    <w:rsid w:val="000A31E7"/>
    <w:rsid w:val="000A32CB"/>
    <w:rsid w:val="000A4ACF"/>
    <w:rsid w:val="000A587F"/>
    <w:rsid w:val="000A7A98"/>
    <w:rsid w:val="000B0785"/>
    <w:rsid w:val="000B1EDF"/>
    <w:rsid w:val="000B2107"/>
    <w:rsid w:val="000B2880"/>
    <w:rsid w:val="000B2CE4"/>
    <w:rsid w:val="000B2E83"/>
    <w:rsid w:val="000B43F4"/>
    <w:rsid w:val="000B5657"/>
    <w:rsid w:val="000B6FAA"/>
    <w:rsid w:val="000B7472"/>
    <w:rsid w:val="000C1CFA"/>
    <w:rsid w:val="000C1DCC"/>
    <w:rsid w:val="000C24C0"/>
    <w:rsid w:val="000C2CD2"/>
    <w:rsid w:val="000C3BD8"/>
    <w:rsid w:val="000C3E7F"/>
    <w:rsid w:val="000C405A"/>
    <w:rsid w:val="000C462D"/>
    <w:rsid w:val="000C5C67"/>
    <w:rsid w:val="000C73B7"/>
    <w:rsid w:val="000C75CD"/>
    <w:rsid w:val="000C7994"/>
    <w:rsid w:val="000D01E9"/>
    <w:rsid w:val="000D0364"/>
    <w:rsid w:val="000D202F"/>
    <w:rsid w:val="000D2742"/>
    <w:rsid w:val="000D2C80"/>
    <w:rsid w:val="000D3CA2"/>
    <w:rsid w:val="000D54DC"/>
    <w:rsid w:val="000D6851"/>
    <w:rsid w:val="000E05BC"/>
    <w:rsid w:val="000E0C92"/>
    <w:rsid w:val="000E0C9C"/>
    <w:rsid w:val="000E1A01"/>
    <w:rsid w:val="000E2081"/>
    <w:rsid w:val="000E2B9A"/>
    <w:rsid w:val="000E310B"/>
    <w:rsid w:val="000E3E74"/>
    <w:rsid w:val="000E5955"/>
    <w:rsid w:val="000E5CEF"/>
    <w:rsid w:val="000E6801"/>
    <w:rsid w:val="000E75E8"/>
    <w:rsid w:val="000F01C6"/>
    <w:rsid w:val="000F241F"/>
    <w:rsid w:val="000F36CE"/>
    <w:rsid w:val="000F495B"/>
    <w:rsid w:val="000F4D2A"/>
    <w:rsid w:val="000F4EAF"/>
    <w:rsid w:val="000F53D7"/>
    <w:rsid w:val="000F588C"/>
    <w:rsid w:val="000F66AA"/>
    <w:rsid w:val="000F6BB9"/>
    <w:rsid w:val="000F7857"/>
    <w:rsid w:val="001008AA"/>
    <w:rsid w:val="0010316D"/>
    <w:rsid w:val="0010350D"/>
    <w:rsid w:val="00104304"/>
    <w:rsid w:val="00105D7E"/>
    <w:rsid w:val="00106094"/>
    <w:rsid w:val="00110074"/>
    <w:rsid w:val="00110329"/>
    <w:rsid w:val="0011072F"/>
    <w:rsid w:val="001107F5"/>
    <w:rsid w:val="00110A30"/>
    <w:rsid w:val="00111931"/>
    <w:rsid w:val="00113AEF"/>
    <w:rsid w:val="00114582"/>
    <w:rsid w:val="0011602B"/>
    <w:rsid w:val="00120CE6"/>
    <w:rsid w:val="0012146D"/>
    <w:rsid w:val="00121608"/>
    <w:rsid w:val="00122646"/>
    <w:rsid w:val="00122EB1"/>
    <w:rsid w:val="0012309C"/>
    <w:rsid w:val="00123948"/>
    <w:rsid w:val="00123D1F"/>
    <w:rsid w:val="00124129"/>
    <w:rsid w:val="00125652"/>
    <w:rsid w:val="001269E8"/>
    <w:rsid w:val="0012700E"/>
    <w:rsid w:val="00127D92"/>
    <w:rsid w:val="00132A0C"/>
    <w:rsid w:val="00136089"/>
    <w:rsid w:val="00136187"/>
    <w:rsid w:val="00137626"/>
    <w:rsid w:val="00140403"/>
    <w:rsid w:val="00144E5A"/>
    <w:rsid w:val="00150331"/>
    <w:rsid w:val="00150E6C"/>
    <w:rsid w:val="00151C1A"/>
    <w:rsid w:val="00153239"/>
    <w:rsid w:val="00153D39"/>
    <w:rsid w:val="00154BCE"/>
    <w:rsid w:val="00154C34"/>
    <w:rsid w:val="00157350"/>
    <w:rsid w:val="00160643"/>
    <w:rsid w:val="00160E72"/>
    <w:rsid w:val="00161765"/>
    <w:rsid w:val="0016228A"/>
    <w:rsid w:val="001668A7"/>
    <w:rsid w:val="00166CE6"/>
    <w:rsid w:val="00167C73"/>
    <w:rsid w:val="001702E7"/>
    <w:rsid w:val="001710CD"/>
    <w:rsid w:val="0017176B"/>
    <w:rsid w:val="001719B8"/>
    <w:rsid w:val="00171B93"/>
    <w:rsid w:val="001725E2"/>
    <w:rsid w:val="00172D92"/>
    <w:rsid w:val="00173675"/>
    <w:rsid w:val="00173AB8"/>
    <w:rsid w:val="00173DBE"/>
    <w:rsid w:val="00173EB4"/>
    <w:rsid w:val="001755D3"/>
    <w:rsid w:val="0017660A"/>
    <w:rsid w:val="00180695"/>
    <w:rsid w:val="00181463"/>
    <w:rsid w:val="001832F0"/>
    <w:rsid w:val="001835DE"/>
    <w:rsid w:val="001837B0"/>
    <w:rsid w:val="00185C3E"/>
    <w:rsid w:val="00186465"/>
    <w:rsid w:val="00186A88"/>
    <w:rsid w:val="00186DB0"/>
    <w:rsid w:val="0018700C"/>
    <w:rsid w:val="001902ED"/>
    <w:rsid w:val="00190A41"/>
    <w:rsid w:val="00190B45"/>
    <w:rsid w:val="00191512"/>
    <w:rsid w:val="00192251"/>
    <w:rsid w:val="001927B0"/>
    <w:rsid w:val="00193093"/>
    <w:rsid w:val="00194DA7"/>
    <w:rsid w:val="00194F42"/>
    <w:rsid w:val="00195E5F"/>
    <w:rsid w:val="00197CDD"/>
    <w:rsid w:val="001A0729"/>
    <w:rsid w:val="001A3FC2"/>
    <w:rsid w:val="001A468C"/>
    <w:rsid w:val="001A4BB4"/>
    <w:rsid w:val="001A5262"/>
    <w:rsid w:val="001A557D"/>
    <w:rsid w:val="001A5AB9"/>
    <w:rsid w:val="001A6B30"/>
    <w:rsid w:val="001A6FC4"/>
    <w:rsid w:val="001A727D"/>
    <w:rsid w:val="001B1184"/>
    <w:rsid w:val="001B2D28"/>
    <w:rsid w:val="001B2E27"/>
    <w:rsid w:val="001B463D"/>
    <w:rsid w:val="001B5067"/>
    <w:rsid w:val="001B52AE"/>
    <w:rsid w:val="001B7100"/>
    <w:rsid w:val="001B71F7"/>
    <w:rsid w:val="001B7B21"/>
    <w:rsid w:val="001C0A7B"/>
    <w:rsid w:val="001C3103"/>
    <w:rsid w:val="001C5305"/>
    <w:rsid w:val="001C731B"/>
    <w:rsid w:val="001C7682"/>
    <w:rsid w:val="001D01EB"/>
    <w:rsid w:val="001D156E"/>
    <w:rsid w:val="001D1936"/>
    <w:rsid w:val="001D1ACF"/>
    <w:rsid w:val="001D2668"/>
    <w:rsid w:val="001D3837"/>
    <w:rsid w:val="001D591C"/>
    <w:rsid w:val="001D74A4"/>
    <w:rsid w:val="001E0AE4"/>
    <w:rsid w:val="001E1483"/>
    <w:rsid w:val="001E2130"/>
    <w:rsid w:val="001E247A"/>
    <w:rsid w:val="001E319A"/>
    <w:rsid w:val="001E4C16"/>
    <w:rsid w:val="001E4DD6"/>
    <w:rsid w:val="001E535F"/>
    <w:rsid w:val="001E644C"/>
    <w:rsid w:val="001E6A75"/>
    <w:rsid w:val="001E7480"/>
    <w:rsid w:val="001E76F3"/>
    <w:rsid w:val="001F00C8"/>
    <w:rsid w:val="001F0AB8"/>
    <w:rsid w:val="001F114D"/>
    <w:rsid w:val="001F179E"/>
    <w:rsid w:val="001F4317"/>
    <w:rsid w:val="001F5CC2"/>
    <w:rsid w:val="001F6777"/>
    <w:rsid w:val="001F6898"/>
    <w:rsid w:val="001F7703"/>
    <w:rsid w:val="001F7859"/>
    <w:rsid w:val="00200E2B"/>
    <w:rsid w:val="00201114"/>
    <w:rsid w:val="002035AB"/>
    <w:rsid w:val="00204BCE"/>
    <w:rsid w:val="00205544"/>
    <w:rsid w:val="002059DC"/>
    <w:rsid w:val="00206428"/>
    <w:rsid w:val="00207414"/>
    <w:rsid w:val="00210BB3"/>
    <w:rsid w:val="00210EDF"/>
    <w:rsid w:val="00211B46"/>
    <w:rsid w:val="00211E12"/>
    <w:rsid w:val="00212A3D"/>
    <w:rsid w:val="0021343D"/>
    <w:rsid w:val="0021405C"/>
    <w:rsid w:val="0021693E"/>
    <w:rsid w:val="002170F4"/>
    <w:rsid w:val="00217757"/>
    <w:rsid w:val="00217AC2"/>
    <w:rsid w:val="00217BB9"/>
    <w:rsid w:val="0022033A"/>
    <w:rsid w:val="00221B30"/>
    <w:rsid w:val="00221F23"/>
    <w:rsid w:val="0022403C"/>
    <w:rsid w:val="00224439"/>
    <w:rsid w:val="0022587C"/>
    <w:rsid w:val="00225B00"/>
    <w:rsid w:val="002263C6"/>
    <w:rsid w:val="00230318"/>
    <w:rsid w:val="002309E4"/>
    <w:rsid w:val="002317EA"/>
    <w:rsid w:val="002318EE"/>
    <w:rsid w:val="00234F94"/>
    <w:rsid w:val="00235207"/>
    <w:rsid w:val="00241069"/>
    <w:rsid w:val="00241937"/>
    <w:rsid w:val="00243601"/>
    <w:rsid w:val="002439D8"/>
    <w:rsid w:val="002504D1"/>
    <w:rsid w:val="00250E99"/>
    <w:rsid w:val="00251038"/>
    <w:rsid w:val="002510AB"/>
    <w:rsid w:val="00251287"/>
    <w:rsid w:val="0025368A"/>
    <w:rsid w:val="002544CB"/>
    <w:rsid w:val="00254E2A"/>
    <w:rsid w:val="00256FBA"/>
    <w:rsid w:val="00257EEC"/>
    <w:rsid w:val="0026004D"/>
    <w:rsid w:val="00260127"/>
    <w:rsid w:val="00263992"/>
    <w:rsid w:val="002654DC"/>
    <w:rsid w:val="00265723"/>
    <w:rsid w:val="00266F8C"/>
    <w:rsid w:val="002709DD"/>
    <w:rsid w:val="002722E4"/>
    <w:rsid w:val="00273226"/>
    <w:rsid w:val="002736CC"/>
    <w:rsid w:val="002739B5"/>
    <w:rsid w:val="002745E6"/>
    <w:rsid w:val="002753AA"/>
    <w:rsid w:val="002763E5"/>
    <w:rsid w:val="002769E5"/>
    <w:rsid w:val="002807BE"/>
    <w:rsid w:val="00284AA9"/>
    <w:rsid w:val="002875B8"/>
    <w:rsid w:val="0029155B"/>
    <w:rsid w:val="00291870"/>
    <w:rsid w:val="002922E5"/>
    <w:rsid w:val="002928DF"/>
    <w:rsid w:val="0029344F"/>
    <w:rsid w:val="00294B6D"/>
    <w:rsid w:val="002957B9"/>
    <w:rsid w:val="002975B6"/>
    <w:rsid w:val="002A0607"/>
    <w:rsid w:val="002A08E3"/>
    <w:rsid w:val="002A0D90"/>
    <w:rsid w:val="002A0F2B"/>
    <w:rsid w:val="002A1510"/>
    <w:rsid w:val="002A3A99"/>
    <w:rsid w:val="002A63BD"/>
    <w:rsid w:val="002A798E"/>
    <w:rsid w:val="002B0BFA"/>
    <w:rsid w:val="002B0FE9"/>
    <w:rsid w:val="002B2CF5"/>
    <w:rsid w:val="002B3DA9"/>
    <w:rsid w:val="002B4ACC"/>
    <w:rsid w:val="002B4F2D"/>
    <w:rsid w:val="002B5626"/>
    <w:rsid w:val="002B58BE"/>
    <w:rsid w:val="002B59F1"/>
    <w:rsid w:val="002B6477"/>
    <w:rsid w:val="002B6D78"/>
    <w:rsid w:val="002B7675"/>
    <w:rsid w:val="002C0B89"/>
    <w:rsid w:val="002C0C58"/>
    <w:rsid w:val="002C1031"/>
    <w:rsid w:val="002C1399"/>
    <w:rsid w:val="002C17B7"/>
    <w:rsid w:val="002C33C5"/>
    <w:rsid w:val="002C3E68"/>
    <w:rsid w:val="002C5EA7"/>
    <w:rsid w:val="002C7A88"/>
    <w:rsid w:val="002D1201"/>
    <w:rsid w:val="002D19F6"/>
    <w:rsid w:val="002D1F9F"/>
    <w:rsid w:val="002D2219"/>
    <w:rsid w:val="002D23DE"/>
    <w:rsid w:val="002D2E21"/>
    <w:rsid w:val="002D3CEB"/>
    <w:rsid w:val="002D6058"/>
    <w:rsid w:val="002D679A"/>
    <w:rsid w:val="002D77D4"/>
    <w:rsid w:val="002D7F6D"/>
    <w:rsid w:val="002E0616"/>
    <w:rsid w:val="002E1CAA"/>
    <w:rsid w:val="002E1D05"/>
    <w:rsid w:val="002E3E51"/>
    <w:rsid w:val="002E59A4"/>
    <w:rsid w:val="002E5DE5"/>
    <w:rsid w:val="002F0386"/>
    <w:rsid w:val="002F37DD"/>
    <w:rsid w:val="002F4A67"/>
    <w:rsid w:val="002F4DD3"/>
    <w:rsid w:val="002F5704"/>
    <w:rsid w:val="002F6516"/>
    <w:rsid w:val="002F675D"/>
    <w:rsid w:val="002F7157"/>
    <w:rsid w:val="00300CC2"/>
    <w:rsid w:val="00301156"/>
    <w:rsid w:val="0030285F"/>
    <w:rsid w:val="00303CFF"/>
    <w:rsid w:val="00304D5C"/>
    <w:rsid w:val="0030642E"/>
    <w:rsid w:val="00307411"/>
    <w:rsid w:val="003079C4"/>
    <w:rsid w:val="00310B89"/>
    <w:rsid w:val="00311211"/>
    <w:rsid w:val="00312F21"/>
    <w:rsid w:val="003139AC"/>
    <w:rsid w:val="00314746"/>
    <w:rsid w:val="00314984"/>
    <w:rsid w:val="00315089"/>
    <w:rsid w:val="003211C5"/>
    <w:rsid w:val="00324B53"/>
    <w:rsid w:val="00325C0F"/>
    <w:rsid w:val="00326C55"/>
    <w:rsid w:val="00330484"/>
    <w:rsid w:val="00330703"/>
    <w:rsid w:val="0033303F"/>
    <w:rsid w:val="003340A8"/>
    <w:rsid w:val="00335697"/>
    <w:rsid w:val="003356C2"/>
    <w:rsid w:val="0033668A"/>
    <w:rsid w:val="003408EB"/>
    <w:rsid w:val="00340CEE"/>
    <w:rsid w:val="00341116"/>
    <w:rsid w:val="0034162C"/>
    <w:rsid w:val="00341A69"/>
    <w:rsid w:val="00342334"/>
    <w:rsid w:val="003436FE"/>
    <w:rsid w:val="00343F79"/>
    <w:rsid w:val="00344837"/>
    <w:rsid w:val="00345379"/>
    <w:rsid w:val="003461CE"/>
    <w:rsid w:val="00347945"/>
    <w:rsid w:val="00347F2A"/>
    <w:rsid w:val="00352F06"/>
    <w:rsid w:val="0035420F"/>
    <w:rsid w:val="00354387"/>
    <w:rsid w:val="0035520A"/>
    <w:rsid w:val="00355358"/>
    <w:rsid w:val="00356003"/>
    <w:rsid w:val="00357FA2"/>
    <w:rsid w:val="00360924"/>
    <w:rsid w:val="00361526"/>
    <w:rsid w:val="00361D7C"/>
    <w:rsid w:val="00362A9F"/>
    <w:rsid w:val="00362AB0"/>
    <w:rsid w:val="00362AEE"/>
    <w:rsid w:val="00363CA2"/>
    <w:rsid w:val="0036415C"/>
    <w:rsid w:val="00365AE8"/>
    <w:rsid w:val="00365F51"/>
    <w:rsid w:val="003668CF"/>
    <w:rsid w:val="00366B55"/>
    <w:rsid w:val="00366D02"/>
    <w:rsid w:val="00366DA6"/>
    <w:rsid w:val="00367518"/>
    <w:rsid w:val="00367CAC"/>
    <w:rsid w:val="00372603"/>
    <w:rsid w:val="003727B2"/>
    <w:rsid w:val="00374103"/>
    <w:rsid w:val="00374D16"/>
    <w:rsid w:val="003751C8"/>
    <w:rsid w:val="00375C3E"/>
    <w:rsid w:val="00375E1A"/>
    <w:rsid w:val="00375F28"/>
    <w:rsid w:val="00376D0A"/>
    <w:rsid w:val="00377C3B"/>
    <w:rsid w:val="00384110"/>
    <w:rsid w:val="003847D8"/>
    <w:rsid w:val="00386010"/>
    <w:rsid w:val="003916B2"/>
    <w:rsid w:val="00391963"/>
    <w:rsid w:val="003924F9"/>
    <w:rsid w:val="0039275A"/>
    <w:rsid w:val="0039283A"/>
    <w:rsid w:val="0039394E"/>
    <w:rsid w:val="003940FE"/>
    <w:rsid w:val="0039412E"/>
    <w:rsid w:val="003942BE"/>
    <w:rsid w:val="00394FD2"/>
    <w:rsid w:val="003966AE"/>
    <w:rsid w:val="0039681D"/>
    <w:rsid w:val="00397511"/>
    <w:rsid w:val="003A3731"/>
    <w:rsid w:val="003A3DBC"/>
    <w:rsid w:val="003A4771"/>
    <w:rsid w:val="003A47E5"/>
    <w:rsid w:val="003A6A4F"/>
    <w:rsid w:val="003B0E30"/>
    <w:rsid w:val="003B1608"/>
    <w:rsid w:val="003B213E"/>
    <w:rsid w:val="003B230E"/>
    <w:rsid w:val="003B3721"/>
    <w:rsid w:val="003B4ED0"/>
    <w:rsid w:val="003B5042"/>
    <w:rsid w:val="003B5399"/>
    <w:rsid w:val="003B6B80"/>
    <w:rsid w:val="003B74DC"/>
    <w:rsid w:val="003B7E65"/>
    <w:rsid w:val="003C018B"/>
    <w:rsid w:val="003C0542"/>
    <w:rsid w:val="003C13DD"/>
    <w:rsid w:val="003C29E4"/>
    <w:rsid w:val="003C40BA"/>
    <w:rsid w:val="003C453E"/>
    <w:rsid w:val="003C7BB7"/>
    <w:rsid w:val="003D0ADC"/>
    <w:rsid w:val="003D0AF9"/>
    <w:rsid w:val="003D1496"/>
    <w:rsid w:val="003D159C"/>
    <w:rsid w:val="003D2EDC"/>
    <w:rsid w:val="003D4FB6"/>
    <w:rsid w:val="003D5F21"/>
    <w:rsid w:val="003D6F2E"/>
    <w:rsid w:val="003D7EA7"/>
    <w:rsid w:val="003E0863"/>
    <w:rsid w:val="003E22D1"/>
    <w:rsid w:val="003E2471"/>
    <w:rsid w:val="003E294E"/>
    <w:rsid w:val="003E305E"/>
    <w:rsid w:val="003E384F"/>
    <w:rsid w:val="003E5BAA"/>
    <w:rsid w:val="003E6C0D"/>
    <w:rsid w:val="003E7A78"/>
    <w:rsid w:val="003F02CC"/>
    <w:rsid w:val="003F0EA5"/>
    <w:rsid w:val="003F2213"/>
    <w:rsid w:val="003F345A"/>
    <w:rsid w:val="003F4145"/>
    <w:rsid w:val="003F41F2"/>
    <w:rsid w:val="003F4BEF"/>
    <w:rsid w:val="003F4DF0"/>
    <w:rsid w:val="003F7AA8"/>
    <w:rsid w:val="003F7C4B"/>
    <w:rsid w:val="0040326E"/>
    <w:rsid w:val="004035BC"/>
    <w:rsid w:val="004063FC"/>
    <w:rsid w:val="004078D8"/>
    <w:rsid w:val="00411BA6"/>
    <w:rsid w:val="004122A8"/>
    <w:rsid w:val="004131CF"/>
    <w:rsid w:val="00414981"/>
    <w:rsid w:val="00416386"/>
    <w:rsid w:val="004163DA"/>
    <w:rsid w:val="00416F5E"/>
    <w:rsid w:val="00423458"/>
    <w:rsid w:val="0042555A"/>
    <w:rsid w:val="00425921"/>
    <w:rsid w:val="0042683E"/>
    <w:rsid w:val="0042693A"/>
    <w:rsid w:val="0043055D"/>
    <w:rsid w:val="00430C68"/>
    <w:rsid w:val="0043224D"/>
    <w:rsid w:val="00432A6F"/>
    <w:rsid w:val="00432D99"/>
    <w:rsid w:val="004332DD"/>
    <w:rsid w:val="00434D1D"/>
    <w:rsid w:val="00435143"/>
    <w:rsid w:val="00436BAD"/>
    <w:rsid w:val="00436CDA"/>
    <w:rsid w:val="00437F3D"/>
    <w:rsid w:val="0044285C"/>
    <w:rsid w:val="004457FA"/>
    <w:rsid w:val="0044632A"/>
    <w:rsid w:val="00446498"/>
    <w:rsid w:val="00446BB0"/>
    <w:rsid w:val="00450312"/>
    <w:rsid w:val="004506E8"/>
    <w:rsid w:val="0045171A"/>
    <w:rsid w:val="004524B4"/>
    <w:rsid w:val="00452C9B"/>
    <w:rsid w:val="00453285"/>
    <w:rsid w:val="00455DEE"/>
    <w:rsid w:val="00456A8B"/>
    <w:rsid w:val="00456C39"/>
    <w:rsid w:val="004576EF"/>
    <w:rsid w:val="0046146B"/>
    <w:rsid w:val="004624DE"/>
    <w:rsid w:val="004627D9"/>
    <w:rsid w:val="004630D0"/>
    <w:rsid w:val="004631CE"/>
    <w:rsid w:val="00463F8C"/>
    <w:rsid w:val="0046435C"/>
    <w:rsid w:val="004644B6"/>
    <w:rsid w:val="00464ED4"/>
    <w:rsid w:val="00465975"/>
    <w:rsid w:val="00466322"/>
    <w:rsid w:val="004673FC"/>
    <w:rsid w:val="004675AC"/>
    <w:rsid w:val="00467C01"/>
    <w:rsid w:val="00470E6C"/>
    <w:rsid w:val="00472F6F"/>
    <w:rsid w:val="00472FF2"/>
    <w:rsid w:val="00474CB4"/>
    <w:rsid w:val="00475986"/>
    <w:rsid w:val="0047602C"/>
    <w:rsid w:val="00476D12"/>
    <w:rsid w:val="00476D71"/>
    <w:rsid w:val="00481C3A"/>
    <w:rsid w:val="00482005"/>
    <w:rsid w:val="0048376A"/>
    <w:rsid w:val="004853A1"/>
    <w:rsid w:val="00485ED7"/>
    <w:rsid w:val="00486E5C"/>
    <w:rsid w:val="004940C0"/>
    <w:rsid w:val="00494205"/>
    <w:rsid w:val="00494AC0"/>
    <w:rsid w:val="00494DA2"/>
    <w:rsid w:val="00494E92"/>
    <w:rsid w:val="00497215"/>
    <w:rsid w:val="00497C90"/>
    <w:rsid w:val="004A0407"/>
    <w:rsid w:val="004A0A81"/>
    <w:rsid w:val="004A113C"/>
    <w:rsid w:val="004A205A"/>
    <w:rsid w:val="004A2AA6"/>
    <w:rsid w:val="004A3A24"/>
    <w:rsid w:val="004A4265"/>
    <w:rsid w:val="004A52C8"/>
    <w:rsid w:val="004A54B0"/>
    <w:rsid w:val="004A6757"/>
    <w:rsid w:val="004B194D"/>
    <w:rsid w:val="004B1E68"/>
    <w:rsid w:val="004B1F50"/>
    <w:rsid w:val="004B4843"/>
    <w:rsid w:val="004B5504"/>
    <w:rsid w:val="004B6074"/>
    <w:rsid w:val="004B7AC9"/>
    <w:rsid w:val="004C1C12"/>
    <w:rsid w:val="004C2B68"/>
    <w:rsid w:val="004C53D3"/>
    <w:rsid w:val="004C56F9"/>
    <w:rsid w:val="004C5801"/>
    <w:rsid w:val="004C5C74"/>
    <w:rsid w:val="004C6D9B"/>
    <w:rsid w:val="004C7E00"/>
    <w:rsid w:val="004D095E"/>
    <w:rsid w:val="004D0D35"/>
    <w:rsid w:val="004D17E5"/>
    <w:rsid w:val="004D4576"/>
    <w:rsid w:val="004D4D5D"/>
    <w:rsid w:val="004D52BC"/>
    <w:rsid w:val="004D662B"/>
    <w:rsid w:val="004D6D64"/>
    <w:rsid w:val="004E0BFC"/>
    <w:rsid w:val="004E0EEC"/>
    <w:rsid w:val="004E1056"/>
    <w:rsid w:val="004E191E"/>
    <w:rsid w:val="004E196E"/>
    <w:rsid w:val="004E1A27"/>
    <w:rsid w:val="004E33A4"/>
    <w:rsid w:val="004E362B"/>
    <w:rsid w:val="004E38E5"/>
    <w:rsid w:val="004E4B08"/>
    <w:rsid w:val="004E56B2"/>
    <w:rsid w:val="004E6769"/>
    <w:rsid w:val="004F2BB6"/>
    <w:rsid w:val="004F40A3"/>
    <w:rsid w:val="004F4732"/>
    <w:rsid w:val="004F4C93"/>
    <w:rsid w:val="004F6398"/>
    <w:rsid w:val="004F63A6"/>
    <w:rsid w:val="004F7A45"/>
    <w:rsid w:val="00500935"/>
    <w:rsid w:val="00500AAE"/>
    <w:rsid w:val="0050112F"/>
    <w:rsid w:val="00501BB4"/>
    <w:rsid w:val="00501EF4"/>
    <w:rsid w:val="00503A01"/>
    <w:rsid w:val="00504149"/>
    <w:rsid w:val="005050FA"/>
    <w:rsid w:val="00505C09"/>
    <w:rsid w:val="005065B0"/>
    <w:rsid w:val="005067B5"/>
    <w:rsid w:val="00506A67"/>
    <w:rsid w:val="005079C8"/>
    <w:rsid w:val="00507A05"/>
    <w:rsid w:val="00507F13"/>
    <w:rsid w:val="00510400"/>
    <w:rsid w:val="00510811"/>
    <w:rsid w:val="00510F30"/>
    <w:rsid w:val="00511558"/>
    <w:rsid w:val="00511AFB"/>
    <w:rsid w:val="00514F0B"/>
    <w:rsid w:val="005160CE"/>
    <w:rsid w:val="00516D87"/>
    <w:rsid w:val="00520851"/>
    <w:rsid w:val="00520CDF"/>
    <w:rsid w:val="005218CC"/>
    <w:rsid w:val="00523F08"/>
    <w:rsid w:val="00524923"/>
    <w:rsid w:val="0052495A"/>
    <w:rsid w:val="00527240"/>
    <w:rsid w:val="00527A59"/>
    <w:rsid w:val="005309FC"/>
    <w:rsid w:val="005313DC"/>
    <w:rsid w:val="00531ABA"/>
    <w:rsid w:val="00531B2A"/>
    <w:rsid w:val="00531BEA"/>
    <w:rsid w:val="00536CB4"/>
    <w:rsid w:val="005409E4"/>
    <w:rsid w:val="00540CBC"/>
    <w:rsid w:val="0054136C"/>
    <w:rsid w:val="00542933"/>
    <w:rsid w:val="00542D01"/>
    <w:rsid w:val="005437E1"/>
    <w:rsid w:val="00543CEF"/>
    <w:rsid w:val="00544B17"/>
    <w:rsid w:val="00545E9F"/>
    <w:rsid w:val="0054793B"/>
    <w:rsid w:val="005502EF"/>
    <w:rsid w:val="00550EE3"/>
    <w:rsid w:val="0055135A"/>
    <w:rsid w:val="00552EBF"/>
    <w:rsid w:val="00553166"/>
    <w:rsid w:val="00554E0D"/>
    <w:rsid w:val="00555406"/>
    <w:rsid w:val="0055628A"/>
    <w:rsid w:val="005562AB"/>
    <w:rsid w:val="0056070E"/>
    <w:rsid w:val="00560B4C"/>
    <w:rsid w:val="00560D5B"/>
    <w:rsid w:val="00562007"/>
    <w:rsid w:val="00562FE0"/>
    <w:rsid w:val="00563DD1"/>
    <w:rsid w:val="00564601"/>
    <w:rsid w:val="005664D4"/>
    <w:rsid w:val="005670A6"/>
    <w:rsid w:val="00567BEF"/>
    <w:rsid w:val="005708D7"/>
    <w:rsid w:val="005729DD"/>
    <w:rsid w:val="00574550"/>
    <w:rsid w:val="00574594"/>
    <w:rsid w:val="005757C4"/>
    <w:rsid w:val="005760FE"/>
    <w:rsid w:val="00576CD5"/>
    <w:rsid w:val="005772F0"/>
    <w:rsid w:val="00580218"/>
    <w:rsid w:val="00580B20"/>
    <w:rsid w:val="005818FF"/>
    <w:rsid w:val="00581B38"/>
    <w:rsid w:val="00581DF0"/>
    <w:rsid w:val="00581F06"/>
    <w:rsid w:val="00585CF2"/>
    <w:rsid w:val="005861F5"/>
    <w:rsid w:val="00586A5D"/>
    <w:rsid w:val="00587725"/>
    <w:rsid w:val="00587C52"/>
    <w:rsid w:val="00587D17"/>
    <w:rsid w:val="005909EF"/>
    <w:rsid w:val="00591513"/>
    <w:rsid w:val="00591BCC"/>
    <w:rsid w:val="00592729"/>
    <w:rsid w:val="00592A07"/>
    <w:rsid w:val="00593C15"/>
    <w:rsid w:val="00594023"/>
    <w:rsid w:val="0059495F"/>
    <w:rsid w:val="00594DAC"/>
    <w:rsid w:val="005952E6"/>
    <w:rsid w:val="005A0506"/>
    <w:rsid w:val="005A088D"/>
    <w:rsid w:val="005A1580"/>
    <w:rsid w:val="005A3346"/>
    <w:rsid w:val="005A3911"/>
    <w:rsid w:val="005A3DE8"/>
    <w:rsid w:val="005A6B48"/>
    <w:rsid w:val="005A7A72"/>
    <w:rsid w:val="005B1291"/>
    <w:rsid w:val="005B1A66"/>
    <w:rsid w:val="005B1B50"/>
    <w:rsid w:val="005B206A"/>
    <w:rsid w:val="005B2C29"/>
    <w:rsid w:val="005B3EA5"/>
    <w:rsid w:val="005B4BA3"/>
    <w:rsid w:val="005B4CBD"/>
    <w:rsid w:val="005B4F85"/>
    <w:rsid w:val="005B77D2"/>
    <w:rsid w:val="005C0D6A"/>
    <w:rsid w:val="005C0FB9"/>
    <w:rsid w:val="005C129F"/>
    <w:rsid w:val="005C238B"/>
    <w:rsid w:val="005C2AB9"/>
    <w:rsid w:val="005C2D11"/>
    <w:rsid w:val="005C3606"/>
    <w:rsid w:val="005C393B"/>
    <w:rsid w:val="005C4774"/>
    <w:rsid w:val="005C496F"/>
    <w:rsid w:val="005C4ACC"/>
    <w:rsid w:val="005C5824"/>
    <w:rsid w:val="005C59BB"/>
    <w:rsid w:val="005C7565"/>
    <w:rsid w:val="005D07A9"/>
    <w:rsid w:val="005D087C"/>
    <w:rsid w:val="005D0B24"/>
    <w:rsid w:val="005D2D13"/>
    <w:rsid w:val="005D3F5E"/>
    <w:rsid w:val="005D444E"/>
    <w:rsid w:val="005D4E7A"/>
    <w:rsid w:val="005D51ED"/>
    <w:rsid w:val="005D6EFF"/>
    <w:rsid w:val="005E0A58"/>
    <w:rsid w:val="005E1F2C"/>
    <w:rsid w:val="005E28F7"/>
    <w:rsid w:val="005E34C4"/>
    <w:rsid w:val="005E3AE0"/>
    <w:rsid w:val="005E4448"/>
    <w:rsid w:val="005E4596"/>
    <w:rsid w:val="005E5366"/>
    <w:rsid w:val="005E55C0"/>
    <w:rsid w:val="005E63F4"/>
    <w:rsid w:val="005E65E1"/>
    <w:rsid w:val="005F07DC"/>
    <w:rsid w:val="005F175B"/>
    <w:rsid w:val="005F3C85"/>
    <w:rsid w:val="005F5D69"/>
    <w:rsid w:val="005F61E3"/>
    <w:rsid w:val="005F7309"/>
    <w:rsid w:val="006022FC"/>
    <w:rsid w:val="006023A4"/>
    <w:rsid w:val="00602E21"/>
    <w:rsid w:val="00605F3B"/>
    <w:rsid w:val="00610910"/>
    <w:rsid w:val="00610B45"/>
    <w:rsid w:val="00610DD3"/>
    <w:rsid w:val="00611C2D"/>
    <w:rsid w:val="0061202C"/>
    <w:rsid w:val="00613A07"/>
    <w:rsid w:val="006148F3"/>
    <w:rsid w:val="00614E5D"/>
    <w:rsid w:val="006161CA"/>
    <w:rsid w:val="00616E85"/>
    <w:rsid w:val="006170A9"/>
    <w:rsid w:val="00617D7C"/>
    <w:rsid w:val="006202A5"/>
    <w:rsid w:val="00620437"/>
    <w:rsid w:val="006215E7"/>
    <w:rsid w:val="00621822"/>
    <w:rsid w:val="006241C4"/>
    <w:rsid w:val="0062459D"/>
    <w:rsid w:val="006278BA"/>
    <w:rsid w:val="00634710"/>
    <w:rsid w:val="00634B64"/>
    <w:rsid w:val="006357FE"/>
    <w:rsid w:val="0064237E"/>
    <w:rsid w:val="00643F3A"/>
    <w:rsid w:val="0064461C"/>
    <w:rsid w:val="00646323"/>
    <w:rsid w:val="006469EA"/>
    <w:rsid w:val="00650A77"/>
    <w:rsid w:val="006523E6"/>
    <w:rsid w:val="00653EDC"/>
    <w:rsid w:val="00655B3D"/>
    <w:rsid w:val="00656077"/>
    <w:rsid w:val="00656680"/>
    <w:rsid w:val="00656FF9"/>
    <w:rsid w:val="0066035F"/>
    <w:rsid w:val="00660B42"/>
    <w:rsid w:val="00661AE7"/>
    <w:rsid w:val="00661D11"/>
    <w:rsid w:val="00662913"/>
    <w:rsid w:val="0066451D"/>
    <w:rsid w:val="00664E9D"/>
    <w:rsid w:val="006656C8"/>
    <w:rsid w:val="00665A84"/>
    <w:rsid w:val="00665BD9"/>
    <w:rsid w:val="00665DE8"/>
    <w:rsid w:val="00666B5A"/>
    <w:rsid w:val="00671C10"/>
    <w:rsid w:val="006733B4"/>
    <w:rsid w:val="00674F19"/>
    <w:rsid w:val="00675668"/>
    <w:rsid w:val="006768C5"/>
    <w:rsid w:val="00680472"/>
    <w:rsid w:val="00680D52"/>
    <w:rsid w:val="00681232"/>
    <w:rsid w:val="00683ABB"/>
    <w:rsid w:val="00684B29"/>
    <w:rsid w:val="00684F96"/>
    <w:rsid w:val="006869F7"/>
    <w:rsid w:val="00687BAA"/>
    <w:rsid w:val="00690220"/>
    <w:rsid w:val="006905DC"/>
    <w:rsid w:val="00690CD0"/>
    <w:rsid w:val="006918C7"/>
    <w:rsid w:val="00691CD2"/>
    <w:rsid w:val="00691E25"/>
    <w:rsid w:val="00691F30"/>
    <w:rsid w:val="00691F36"/>
    <w:rsid w:val="00692694"/>
    <w:rsid w:val="006943F5"/>
    <w:rsid w:val="00694EDF"/>
    <w:rsid w:val="006953C2"/>
    <w:rsid w:val="006966A9"/>
    <w:rsid w:val="00696C2C"/>
    <w:rsid w:val="00697465"/>
    <w:rsid w:val="00697FD3"/>
    <w:rsid w:val="006A186D"/>
    <w:rsid w:val="006A30D1"/>
    <w:rsid w:val="006A3B77"/>
    <w:rsid w:val="006A6848"/>
    <w:rsid w:val="006A7685"/>
    <w:rsid w:val="006B143C"/>
    <w:rsid w:val="006B44DC"/>
    <w:rsid w:val="006B4E87"/>
    <w:rsid w:val="006B594A"/>
    <w:rsid w:val="006B5B9E"/>
    <w:rsid w:val="006C128A"/>
    <w:rsid w:val="006C1343"/>
    <w:rsid w:val="006C1425"/>
    <w:rsid w:val="006C1D7C"/>
    <w:rsid w:val="006C2F12"/>
    <w:rsid w:val="006C3C46"/>
    <w:rsid w:val="006C5406"/>
    <w:rsid w:val="006C5D2F"/>
    <w:rsid w:val="006C5E12"/>
    <w:rsid w:val="006D1933"/>
    <w:rsid w:val="006D1EEA"/>
    <w:rsid w:val="006D2245"/>
    <w:rsid w:val="006D4082"/>
    <w:rsid w:val="006D4AAA"/>
    <w:rsid w:val="006D4DD2"/>
    <w:rsid w:val="006D5BE3"/>
    <w:rsid w:val="006D5F98"/>
    <w:rsid w:val="006E04D6"/>
    <w:rsid w:val="006E1E83"/>
    <w:rsid w:val="006E35A6"/>
    <w:rsid w:val="006E4989"/>
    <w:rsid w:val="006E548A"/>
    <w:rsid w:val="006E5844"/>
    <w:rsid w:val="006E62EA"/>
    <w:rsid w:val="006F030B"/>
    <w:rsid w:val="006F28CF"/>
    <w:rsid w:val="006F2945"/>
    <w:rsid w:val="006F29FF"/>
    <w:rsid w:val="006F3F3C"/>
    <w:rsid w:val="006F5689"/>
    <w:rsid w:val="006F6398"/>
    <w:rsid w:val="006F725F"/>
    <w:rsid w:val="006F78EE"/>
    <w:rsid w:val="006F7A41"/>
    <w:rsid w:val="006F7C5C"/>
    <w:rsid w:val="00701C9A"/>
    <w:rsid w:val="0070276B"/>
    <w:rsid w:val="007044BE"/>
    <w:rsid w:val="0070668D"/>
    <w:rsid w:val="007076EA"/>
    <w:rsid w:val="00710284"/>
    <w:rsid w:val="00710444"/>
    <w:rsid w:val="00710E47"/>
    <w:rsid w:val="007119CC"/>
    <w:rsid w:val="00716CA6"/>
    <w:rsid w:val="00717290"/>
    <w:rsid w:val="00720DFA"/>
    <w:rsid w:val="00720FC0"/>
    <w:rsid w:val="0072198B"/>
    <w:rsid w:val="00721BB0"/>
    <w:rsid w:val="00722966"/>
    <w:rsid w:val="007257C0"/>
    <w:rsid w:val="007269E8"/>
    <w:rsid w:val="00726A74"/>
    <w:rsid w:val="00727643"/>
    <w:rsid w:val="00727DD8"/>
    <w:rsid w:val="00730348"/>
    <w:rsid w:val="00731607"/>
    <w:rsid w:val="00732CEC"/>
    <w:rsid w:val="00733625"/>
    <w:rsid w:val="00734011"/>
    <w:rsid w:val="00737B40"/>
    <w:rsid w:val="00737E2E"/>
    <w:rsid w:val="007404B9"/>
    <w:rsid w:val="00740510"/>
    <w:rsid w:val="00740E96"/>
    <w:rsid w:val="00740EBD"/>
    <w:rsid w:val="007424F4"/>
    <w:rsid w:val="00744A96"/>
    <w:rsid w:val="007455FA"/>
    <w:rsid w:val="00745CE9"/>
    <w:rsid w:val="00747A86"/>
    <w:rsid w:val="00750631"/>
    <w:rsid w:val="00750B35"/>
    <w:rsid w:val="00750E2E"/>
    <w:rsid w:val="00751C20"/>
    <w:rsid w:val="00753666"/>
    <w:rsid w:val="00753E7E"/>
    <w:rsid w:val="00755CE3"/>
    <w:rsid w:val="007562B4"/>
    <w:rsid w:val="0075699A"/>
    <w:rsid w:val="00757742"/>
    <w:rsid w:val="00757D46"/>
    <w:rsid w:val="00757E7C"/>
    <w:rsid w:val="00761322"/>
    <w:rsid w:val="00761D50"/>
    <w:rsid w:val="00763120"/>
    <w:rsid w:val="007650AC"/>
    <w:rsid w:val="007678AA"/>
    <w:rsid w:val="00767C5F"/>
    <w:rsid w:val="007707A9"/>
    <w:rsid w:val="007719BC"/>
    <w:rsid w:val="007733C0"/>
    <w:rsid w:val="00773FD8"/>
    <w:rsid w:val="007747A5"/>
    <w:rsid w:val="00775398"/>
    <w:rsid w:val="007761ED"/>
    <w:rsid w:val="00777EEC"/>
    <w:rsid w:val="00780112"/>
    <w:rsid w:val="0078040D"/>
    <w:rsid w:val="00782208"/>
    <w:rsid w:val="00785360"/>
    <w:rsid w:val="00785DD3"/>
    <w:rsid w:val="0078730A"/>
    <w:rsid w:val="00791781"/>
    <w:rsid w:val="00791BA4"/>
    <w:rsid w:val="007920E0"/>
    <w:rsid w:val="0079242E"/>
    <w:rsid w:val="00794A00"/>
    <w:rsid w:val="007973D9"/>
    <w:rsid w:val="007A04D3"/>
    <w:rsid w:val="007A1741"/>
    <w:rsid w:val="007A2471"/>
    <w:rsid w:val="007A317F"/>
    <w:rsid w:val="007A3505"/>
    <w:rsid w:val="007A47FE"/>
    <w:rsid w:val="007A5D36"/>
    <w:rsid w:val="007A7092"/>
    <w:rsid w:val="007B0A16"/>
    <w:rsid w:val="007B2A51"/>
    <w:rsid w:val="007B33D9"/>
    <w:rsid w:val="007B4E40"/>
    <w:rsid w:val="007B4EFD"/>
    <w:rsid w:val="007B618A"/>
    <w:rsid w:val="007B78D0"/>
    <w:rsid w:val="007C0F22"/>
    <w:rsid w:val="007C2955"/>
    <w:rsid w:val="007C49DB"/>
    <w:rsid w:val="007C4A4F"/>
    <w:rsid w:val="007C4FE0"/>
    <w:rsid w:val="007C5592"/>
    <w:rsid w:val="007C62A8"/>
    <w:rsid w:val="007C6B8E"/>
    <w:rsid w:val="007C7936"/>
    <w:rsid w:val="007D0EC7"/>
    <w:rsid w:val="007D2379"/>
    <w:rsid w:val="007D2997"/>
    <w:rsid w:val="007D2A07"/>
    <w:rsid w:val="007D2E1E"/>
    <w:rsid w:val="007D3BDA"/>
    <w:rsid w:val="007D4F93"/>
    <w:rsid w:val="007D52D0"/>
    <w:rsid w:val="007D6724"/>
    <w:rsid w:val="007D7029"/>
    <w:rsid w:val="007D79E7"/>
    <w:rsid w:val="007E05C9"/>
    <w:rsid w:val="007E109F"/>
    <w:rsid w:val="007E3837"/>
    <w:rsid w:val="007E39C8"/>
    <w:rsid w:val="007E574B"/>
    <w:rsid w:val="007E5E29"/>
    <w:rsid w:val="007E619F"/>
    <w:rsid w:val="007E62F5"/>
    <w:rsid w:val="007E63C6"/>
    <w:rsid w:val="007E6540"/>
    <w:rsid w:val="007E7C4F"/>
    <w:rsid w:val="007E7ED7"/>
    <w:rsid w:val="007F0FFC"/>
    <w:rsid w:val="007F2F62"/>
    <w:rsid w:val="007F45ED"/>
    <w:rsid w:val="007F4BE7"/>
    <w:rsid w:val="007F4E9A"/>
    <w:rsid w:val="007F57B6"/>
    <w:rsid w:val="007F5C6B"/>
    <w:rsid w:val="007F5EEE"/>
    <w:rsid w:val="007F65DB"/>
    <w:rsid w:val="007F6F20"/>
    <w:rsid w:val="007F6FF2"/>
    <w:rsid w:val="007F706A"/>
    <w:rsid w:val="007F797A"/>
    <w:rsid w:val="00800FEA"/>
    <w:rsid w:val="00801664"/>
    <w:rsid w:val="00801B2F"/>
    <w:rsid w:val="008044BA"/>
    <w:rsid w:val="008047A3"/>
    <w:rsid w:val="0080490E"/>
    <w:rsid w:val="00805F0F"/>
    <w:rsid w:val="00807B46"/>
    <w:rsid w:val="00807BED"/>
    <w:rsid w:val="00810A76"/>
    <w:rsid w:val="0081176A"/>
    <w:rsid w:val="0081181C"/>
    <w:rsid w:val="00811FD9"/>
    <w:rsid w:val="008129CA"/>
    <w:rsid w:val="00812B17"/>
    <w:rsid w:val="00812B62"/>
    <w:rsid w:val="008131BC"/>
    <w:rsid w:val="0081423A"/>
    <w:rsid w:val="00816ADB"/>
    <w:rsid w:val="00816BAC"/>
    <w:rsid w:val="00817D8E"/>
    <w:rsid w:val="00820A05"/>
    <w:rsid w:val="0082228D"/>
    <w:rsid w:val="00822D5E"/>
    <w:rsid w:val="00823074"/>
    <w:rsid w:val="00824CEE"/>
    <w:rsid w:val="0082644F"/>
    <w:rsid w:val="0082794E"/>
    <w:rsid w:val="00832433"/>
    <w:rsid w:val="00832AE8"/>
    <w:rsid w:val="00832CCB"/>
    <w:rsid w:val="00833E8A"/>
    <w:rsid w:val="00834AEE"/>
    <w:rsid w:val="008356FF"/>
    <w:rsid w:val="0083615F"/>
    <w:rsid w:val="00842164"/>
    <w:rsid w:val="008422E7"/>
    <w:rsid w:val="008424D3"/>
    <w:rsid w:val="0084251C"/>
    <w:rsid w:val="008426EC"/>
    <w:rsid w:val="00842ED1"/>
    <w:rsid w:val="008438AC"/>
    <w:rsid w:val="00844464"/>
    <w:rsid w:val="0084515E"/>
    <w:rsid w:val="008469DB"/>
    <w:rsid w:val="00846A60"/>
    <w:rsid w:val="00851F1B"/>
    <w:rsid w:val="008521D2"/>
    <w:rsid w:val="0085461D"/>
    <w:rsid w:val="008548AE"/>
    <w:rsid w:val="00856F90"/>
    <w:rsid w:val="00861064"/>
    <w:rsid w:val="00861C27"/>
    <w:rsid w:val="0086231B"/>
    <w:rsid w:val="008625E0"/>
    <w:rsid w:val="00862F71"/>
    <w:rsid w:val="00863554"/>
    <w:rsid w:val="008638BE"/>
    <w:rsid w:val="008648AA"/>
    <w:rsid w:val="008661FA"/>
    <w:rsid w:val="00867FE2"/>
    <w:rsid w:val="00871000"/>
    <w:rsid w:val="00871474"/>
    <w:rsid w:val="00872116"/>
    <w:rsid w:val="008729E4"/>
    <w:rsid w:val="00872B87"/>
    <w:rsid w:val="008736DB"/>
    <w:rsid w:val="00873922"/>
    <w:rsid w:val="0087711F"/>
    <w:rsid w:val="00877736"/>
    <w:rsid w:val="00877EB3"/>
    <w:rsid w:val="008801A1"/>
    <w:rsid w:val="00880B08"/>
    <w:rsid w:val="00880B09"/>
    <w:rsid w:val="00880FDA"/>
    <w:rsid w:val="00883A06"/>
    <w:rsid w:val="0088528E"/>
    <w:rsid w:val="00885329"/>
    <w:rsid w:val="00885BE4"/>
    <w:rsid w:val="00887E1C"/>
    <w:rsid w:val="0089095D"/>
    <w:rsid w:val="008911C0"/>
    <w:rsid w:val="00892224"/>
    <w:rsid w:val="0089353C"/>
    <w:rsid w:val="00894144"/>
    <w:rsid w:val="00894EE6"/>
    <w:rsid w:val="0089717B"/>
    <w:rsid w:val="008A059B"/>
    <w:rsid w:val="008A1CDD"/>
    <w:rsid w:val="008A1F7D"/>
    <w:rsid w:val="008A3CF9"/>
    <w:rsid w:val="008A5174"/>
    <w:rsid w:val="008A7548"/>
    <w:rsid w:val="008A7859"/>
    <w:rsid w:val="008B1FC9"/>
    <w:rsid w:val="008B20AC"/>
    <w:rsid w:val="008B378C"/>
    <w:rsid w:val="008B433A"/>
    <w:rsid w:val="008B5504"/>
    <w:rsid w:val="008B6189"/>
    <w:rsid w:val="008B6A1E"/>
    <w:rsid w:val="008C248B"/>
    <w:rsid w:val="008C2F21"/>
    <w:rsid w:val="008C3D68"/>
    <w:rsid w:val="008C40AE"/>
    <w:rsid w:val="008C420E"/>
    <w:rsid w:val="008C4DAF"/>
    <w:rsid w:val="008C5EBC"/>
    <w:rsid w:val="008C629D"/>
    <w:rsid w:val="008D2333"/>
    <w:rsid w:val="008D294A"/>
    <w:rsid w:val="008D2C4A"/>
    <w:rsid w:val="008D309F"/>
    <w:rsid w:val="008D4265"/>
    <w:rsid w:val="008D4534"/>
    <w:rsid w:val="008D6734"/>
    <w:rsid w:val="008D698B"/>
    <w:rsid w:val="008D71D5"/>
    <w:rsid w:val="008E0DDC"/>
    <w:rsid w:val="008E2AE0"/>
    <w:rsid w:val="008E4382"/>
    <w:rsid w:val="008E4819"/>
    <w:rsid w:val="008E5492"/>
    <w:rsid w:val="008E6077"/>
    <w:rsid w:val="008E60CF"/>
    <w:rsid w:val="008E69E8"/>
    <w:rsid w:val="008E6B00"/>
    <w:rsid w:val="008E74D0"/>
    <w:rsid w:val="008E774E"/>
    <w:rsid w:val="008F01FD"/>
    <w:rsid w:val="008F3570"/>
    <w:rsid w:val="008F37BD"/>
    <w:rsid w:val="008F5FB8"/>
    <w:rsid w:val="008F60EE"/>
    <w:rsid w:val="008F6AA6"/>
    <w:rsid w:val="008F71B5"/>
    <w:rsid w:val="008F764A"/>
    <w:rsid w:val="008F77D9"/>
    <w:rsid w:val="00900294"/>
    <w:rsid w:val="00900E97"/>
    <w:rsid w:val="00900F12"/>
    <w:rsid w:val="00902107"/>
    <w:rsid w:val="0090270F"/>
    <w:rsid w:val="009028E5"/>
    <w:rsid w:val="00902AD1"/>
    <w:rsid w:val="00903B1A"/>
    <w:rsid w:val="009059CF"/>
    <w:rsid w:val="00905B0F"/>
    <w:rsid w:val="00905C1B"/>
    <w:rsid w:val="00906629"/>
    <w:rsid w:val="00906E0A"/>
    <w:rsid w:val="00907F53"/>
    <w:rsid w:val="0091003F"/>
    <w:rsid w:val="0091069C"/>
    <w:rsid w:val="00910D12"/>
    <w:rsid w:val="0091230A"/>
    <w:rsid w:val="00913EF5"/>
    <w:rsid w:val="00914861"/>
    <w:rsid w:val="00914B13"/>
    <w:rsid w:val="00916BDF"/>
    <w:rsid w:val="00917367"/>
    <w:rsid w:val="0091739E"/>
    <w:rsid w:val="0091740E"/>
    <w:rsid w:val="00917E97"/>
    <w:rsid w:val="00921BA1"/>
    <w:rsid w:val="0092346C"/>
    <w:rsid w:val="009235D8"/>
    <w:rsid w:val="00923690"/>
    <w:rsid w:val="00924643"/>
    <w:rsid w:val="00924670"/>
    <w:rsid w:val="00925082"/>
    <w:rsid w:val="00925598"/>
    <w:rsid w:val="00926BB0"/>
    <w:rsid w:val="00927640"/>
    <w:rsid w:val="0092798A"/>
    <w:rsid w:val="00927BE5"/>
    <w:rsid w:val="0093012D"/>
    <w:rsid w:val="00930575"/>
    <w:rsid w:val="00930C03"/>
    <w:rsid w:val="009313CF"/>
    <w:rsid w:val="00931EF3"/>
    <w:rsid w:val="00932473"/>
    <w:rsid w:val="00932F32"/>
    <w:rsid w:val="009366BE"/>
    <w:rsid w:val="00937945"/>
    <w:rsid w:val="00941E60"/>
    <w:rsid w:val="00941E86"/>
    <w:rsid w:val="00941F56"/>
    <w:rsid w:val="00942356"/>
    <w:rsid w:val="00942D5D"/>
    <w:rsid w:val="00945AD6"/>
    <w:rsid w:val="0094674B"/>
    <w:rsid w:val="00946B25"/>
    <w:rsid w:val="0094752A"/>
    <w:rsid w:val="00947D2B"/>
    <w:rsid w:val="00947E81"/>
    <w:rsid w:val="00952722"/>
    <w:rsid w:val="00953D44"/>
    <w:rsid w:val="00956080"/>
    <w:rsid w:val="00957CFD"/>
    <w:rsid w:val="0096074C"/>
    <w:rsid w:val="009607CB"/>
    <w:rsid w:val="00960C1D"/>
    <w:rsid w:val="00960D47"/>
    <w:rsid w:val="00961142"/>
    <w:rsid w:val="00962143"/>
    <w:rsid w:val="00962438"/>
    <w:rsid w:val="0096379F"/>
    <w:rsid w:val="00966885"/>
    <w:rsid w:val="00970CAA"/>
    <w:rsid w:val="009731D4"/>
    <w:rsid w:val="00973753"/>
    <w:rsid w:val="00974342"/>
    <w:rsid w:val="009757BC"/>
    <w:rsid w:val="009759F3"/>
    <w:rsid w:val="009800A7"/>
    <w:rsid w:val="00980996"/>
    <w:rsid w:val="00981447"/>
    <w:rsid w:val="00981AC0"/>
    <w:rsid w:val="00982EE9"/>
    <w:rsid w:val="00983EAD"/>
    <w:rsid w:val="009841C8"/>
    <w:rsid w:val="0098621D"/>
    <w:rsid w:val="00986A1D"/>
    <w:rsid w:val="00987143"/>
    <w:rsid w:val="00987947"/>
    <w:rsid w:val="009879C8"/>
    <w:rsid w:val="00990C52"/>
    <w:rsid w:val="009916BA"/>
    <w:rsid w:val="00992A68"/>
    <w:rsid w:val="00996051"/>
    <w:rsid w:val="009968E4"/>
    <w:rsid w:val="00996F2F"/>
    <w:rsid w:val="00997833"/>
    <w:rsid w:val="009A1621"/>
    <w:rsid w:val="009A1C81"/>
    <w:rsid w:val="009A302C"/>
    <w:rsid w:val="009A455C"/>
    <w:rsid w:val="009A463B"/>
    <w:rsid w:val="009A5B84"/>
    <w:rsid w:val="009A7035"/>
    <w:rsid w:val="009A73DB"/>
    <w:rsid w:val="009A7521"/>
    <w:rsid w:val="009B07FE"/>
    <w:rsid w:val="009B132F"/>
    <w:rsid w:val="009B2A6B"/>
    <w:rsid w:val="009B4495"/>
    <w:rsid w:val="009B6379"/>
    <w:rsid w:val="009B7F70"/>
    <w:rsid w:val="009C1AA0"/>
    <w:rsid w:val="009C6363"/>
    <w:rsid w:val="009D0314"/>
    <w:rsid w:val="009D06E0"/>
    <w:rsid w:val="009D13A2"/>
    <w:rsid w:val="009D15A9"/>
    <w:rsid w:val="009D2BAB"/>
    <w:rsid w:val="009D317C"/>
    <w:rsid w:val="009D47A0"/>
    <w:rsid w:val="009D4BF8"/>
    <w:rsid w:val="009D5C6C"/>
    <w:rsid w:val="009D7613"/>
    <w:rsid w:val="009D7863"/>
    <w:rsid w:val="009D7DB6"/>
    <w:rsid w:val="009D7F45"/>
    <w:rsid w:val="009E1680"/>
    <w:rsid w:val="009E1F7C"/>
    <w:rsid w:val="009E30B7"/>
    <w:rsid w:val="009E395D"/>
    <w:rsid w:val="009E4726"/>
    <w:rsid w:val="009E4D71"/>
    <w:rsid w:val="009E5104"/>
    <w:rsid w:val="009E5AA2"/>
    <w:rsid w:val="009E6BDC"/>
    <w:rsid w:val="009E6F3C"/>
    <w:rsid w:val="009E7A24"/>
    <w:rsid w:val="009F04F2"/>
    <w:rsid w:val="009F137E"/>
    <w:rsid w:val="009F4B9F"/>
    <w:rsid w:val="009F507A"/>
    <w:rsid w:val="009F5671"/>
    <w:rsid w:val="009F583D"/>
    <w:rsid w:val="009F61DD"/>
    <w:rsid w:val="009F635F"/>
    <w:rsid w:val="009F7200"/>
    <w:rsid w:val="00A00E37"/>
    <w:rsid w:val="00A01B1D"/>
    <w:rsid w:val="00A04C53"/>
    <w:rsid w:val="00A0542A"/>
    <w:rsid w:val="00A06196"/>
    <w:rsid w:val="00A07BAC"/>
    <w:rsid w:val="00A10165"/>
    <w:rsid w:val="00A109EE"/>
    <w:rsid w:val="00A111E4"/>
    <w:rsid w:val="00A118A3"/>
    <w:rsid w:val="00A121DD"/>
    <w:rsid w:val="00A125A4"/>
    <w:rsid w:val="00A12EBC"/>
    <w:rsid w:val="00A13C13"/>
    <w:rsid w:val="00A14301"/>
    <w:rsid w:val="00A14346"/>
    <w:rsid w:val="00A14ECA"/>
    <w:rsid w:val="00A153B5"/>
    <w:rsid w:val="00A15EDE"/>
    <w:rsid w:val="00A16442"/>
    <w:rsid w:val="00A214D4"/>
    <w:rsid w:val="00A21750"/>
    <w:rsid w:val="00A22612"/>
    <w:rsid w:val="00A24501"/>
    <w:rsid w:val="00A25041"/>
    <w:rsid w:val="00A2574F"/>
    <w:rsid w:val="00A25AE1"/>
    <w:rsid w:val="00A26520"/>
    <w:rsid w:val="00A267A2"/>
    <w:rsid w:val="00A26D3E"/>
    <w:rsid w:val="00A2748F"/>
    <w:rsid w:val="00A31E0C"/>
    <w:rsid w:val="00A3297C"/>
    <w:rsid w:val="00A3799A"/>
    <w:rsid w:val="00A37BB5"/>
    <w:rsid w:val="00A37FE3"/>
    <w:rsid w:val="00A412FC"/>
    <w:rsid w:val="00A418B4"/>
    <w:rsid w:val="00A432CF"/>
    <w:rsid w:val="00A435F3"/>
    <w:rsid w:val="00A43D69"/>
    <w:rsid w:val="00A44753"/>
    <w:rsid w:val="00A46600"/>
    <w:rsid w:val="00A46FED"/>
    <w:rsid w:val="00A4778B"/>
    <w:rsid w:val="00A47DE3"/>
    <w:rsid w:val="00A50831"/>
    <w:rsid w:val="00A50C8D"/>
    <w:rsid w:val="00A5136D"/>
    <w:rsid w:val="00A51C40"/>
    <w:rsid w:val="00A5274C"/>
    <w:rsid w:val="00A53B7F"/>
    <w:rsid w:val="00A54458"/>
    <w:rsid w:val="00A56389"/>
    <w:rsid w:val="00A57370"/>
    <w:rsid w:val="00A578D6"/>
    <w:rsid w:val="00A6065D"/>
    <w:rsid w:val="00A61F66"/>
    <w:rsid w:val="00A64103"/>
    <w:rsid w:val="00A642B3"/>
    <w:rsid w:val="00A65E7B"/>
    <w:rsid w:val="00A65EB9"/>
    <w:rsid w:val="00A66E6D"/>
    <w:rsid w:val="00A67526"/>
    <w:rsid w:val="00A719F3"/>
    <w:rsid w:val="00A72945"/>
    <w:rsid w:val="00A72F13"/>
    <w:rsid w:val="00A740C3"/>
    <w:rsid w:val="00A76013"/>
    <w:rsid w:val="00A80BDC"/>
    <w:rsid w:val="00A82794"/>
    <w:rsid w:val="00A83402"/>
    <w:rsid w:val="00A851E6"/>
    <w:rsid w:val="00A8598F"/>
    <w:rsid w:val="00A8623C"/>
    <w:rsid w:val="00A87225"/>
    <w:rsid w:val="00A87997"/>
    <w:rsid w:val="00A90CEB"/>
    <w:rsid w:val="00A9126A"/>
    <w:rsid w:val="00A91FC2"/>
    <w:rsid w:val="00A9329D"/>
    <w:rsid w:val="00A94EDA"/>
    <w:rsid w:val="00A9550A"/>
    <w:rsid w:val="00A957EC"/>
    <w:rsid w:val="00A958C2"/>
    <w:rsid w:val="00AA0A93"/>
    <w:rsid w:val="00AA0FEC"/>
    <w:rsid w:val="00AA1114"/>
    <w:rsid w:val="00AA3CC2"/>
    <w:rsid w:val="00AA4BDE"/>
    <w:rsid w:val="00AA4D68"/>
    <w:rsid w:val="00AA4E59"/>
    <w:rsid w:val="00AA6629"/>
    <w:rsid w:val="00AA689E"/>
    <w:rsid w:val="00AA6D4A"/>
    <w:rsid w:val="00AA7F2B"/>
    <w:rsid w:val="00AB113E"/>
    <w:rsid w:val="00AB14FB"/>
    <w:rsid w:val="00AB1E31"/>
    <w:rsid w:val="00AB2657"/>
    <w:rsid w:val="00AB26EC"/>
    <w:rsid w:val="00AB3DD6"/>
    <w:rsid w:val="00AB460B"/>
    <w:rsid w:val="00AB508B"/>
    <w:rsid w:val="00AB6BB5"/>
    <w:rsid w:val="00AB7DA5"/>
    <w:rsid w:val="00AC0015"/>
    <w:rsid w:val="00AC05D5"/>
    <w:rsid w:val="00AC156A"/>
    <w:rsid w:val="00AC24D8"/>
    <w:rsid w:val="00AC40F1"/>
    <w:rsid w:val="00AC54D2"/>
    <w:rsid w:val="00AC6F6E"/>
    <w:rsid w:val="00AC7574"/>
    <w:rsid w:val="00AD13A5"/>
    <w:rsid w:val="00AD1722"/>
    <w:rsid w:val="00AD1C64"/>
    <w:rsid w:val="00AD1E77"/>
    <w:rsid w:val="00AD2634"/>
    <w:rsid w:val="00AD2C13"/>
    <w:rsid w:val="00AD3602"/>
    <w:rsid w:val="00AD3BD3"/>
    <w:rsid w:val="00AD5BE4"/>
    <w:rsid w:val="00AD7E2A"/>
    <w:rsid w:val="00AE00FA"/>
    <w:rsid w:val="00AE06AA"/>
    <w:rsid w:val="00AE0874"/>
    <w:rsid w:val="00AE0922"/>
    <w:rsid w:val="00AE2654"/>
    <w:rsid w:val="00AE30D4"/>
    <w:rsid w:val="00AE3370"/>
    <w:rsid w:val="00AE39CD"/>
    <w:rsid w:val="00AE4089"/>
    <w:rsid w:val="00AE42D9"/>
    <w:rsid w:val="00AE455F"/>
    <w:rsid w:val="00AE501B"/>
    <w:rsid w:val="00AF023A"/>
    <w:rsid w:val="00AF0CDB"/>
    <w:rsid w:val="00AF167C"/>
    <w:rsid w:val="00AF21BE"/>
    <w:rsid w:val="00AF36B1"/>
    <w:rsid w:val="00AF4CF3"/>
    <w:rsid w:val="00AF54AE"/>
    <w:rsid w:val="00AF5970"/>
    <w:rsid w:val="00AF6B67"/>
    <w:rsid w:val="00AF7CB5"/>
    <w:rsid w:val="00AF7D77"/>
    <w:rsid w:val="00B00B2B"/>
    <w:rsid w:val="00B01417"/>
    <w:rsid w:val="00B0277D"/>
    <w:rsid w:val="00B038E7"/>
    <w:rsid w:val="00B03CC0"/>
    <w:rsid w:val="00B04BCC"/>
    <w:rsid w:val="00B05779"/>
    <w:rsid w:val="00B0662D"/>
    <w:rsid w:val="00B1040B"/>
    <w:rsid w:val="00B105E9"/>
    <w:rsid w:val="00B10906"/>
    <w:rsid w:val="00B1618C"/>
    <w:rsid w:val="00B16222"/>
    <w:rsid w:val="00B168E5"/>
    <w:rsid w:val="00B1693C"/>
    <w:rsid w:val="00B16B15"/>
    <w:rsid w:val="00B17AD4"/>
    <w:rsid w:val="00B201D9"/>
    <w:rsid w:val="00B21D48"/>
    <w:rsid w:val="00B220C2"/>
    <w:rsid w:val="00B2214E"/>
    <w:rsid w:val="00B2559F"/>
    <w:rsid w:val="00B257A1"/>
    <w:rsid w:val="00B26CE3"/>
    <w:rsid w:val="00B27143"/>
    <w:rsid w:val="00B27F30"/>
    <w:rsid w:val="00B31D0A"/>
    <w:rsid w:val="00B32D79"/>
    <w:rsid w:val="00B33964"/>
    <w:rsid w:val="00B35164"/>
    <w:rsid w:val="00B356FD"/>
    <w:rsid w:val="00B35F0A"/>
    <w:rsid w:val="00B36377"/>
    <w:rsid w:val="00B36AE2"/>
    <w:rsid w:val="00B379D2"/>
    <w:rsid w:val="00B41658"/>
    <w:rsid w:val="00B4193E"/>
    <w:rsid w:val="00B4316D"/>
    <w:rsid w:val="00B43773"/>
    <w:rsid w:val="00B43C8E"/>
    <w:rsid w:val="00B44FCB"/>
    <w:rsid w:val="00B47073"/>
    <w:rsid w:val="00B471BB"/>
    <w:rsid w:val="00B47E73"/>
    <w:rsid w:val="00B5049D"/>
    <w:rsid w:val="00B51335"/>
    <w:rsid w:val="00B5139A"/>
    <w:rsid w:val="00B52589"/>
    <w:rsid w:val="00B52B62"/>
    <w:rsid w:val="00B53FAA"/>
    <w:rsid w:val="00B5511E"/>
    <w:rsid w:val="00B55C9F"/>
    <w:rsid w:val="00B56180"/>
    <w:rsid w:val="00B6112A"/>
    <w:rsid w:val="00B61943"/>
    <w:rsid w:val="00B61A5A"/>
    <w:rsid w:val="00B61ED8"/>
    <w:rsid w:val="00B62F1B"/>
    <w:rsid w:val="00B63CED"/>
    <w:rsid w:val="00B63D87"/>
    <w:rsid w:val="00B6484A"/>
    <w:rsid w:val="00B65668"/>
    <w:rsid w:val="00B65943"/>
    <w:rsid w:val="00B65DD7"/>
    <w:rsid w:val="00B66447"/>
    <w:rsid w:val="00B67049"/>
    <w:rsid w:val="00B670CD"/>
    <w:rsid w:val="00B707D2"/>
    <w:rsid w:val="00B70938"/>
    <w:rsid w:val="00B71193"/>
    <w:rsid w:val="00B71393"/>
    <w:rsid w:val="00B718A6"/>
    <w:rsid w:val="00B71C8C"/>
    <w:rsid w:val="00B72120"/>
    <w:rsid w:val="00B72485"/>
    <w:rsid w:val="00B724EE"/>
    <w:rsid w:val="00B72933"/>
    <w:rsid w:val="00B72B3A"/>
    <w:rsid w:val="00B73C64"/>
    <w:rsid w:val="00B74190"/>
    <w:rsid w:val="00B742ED"/>
    <w:rsid w:val="00B75BA4"/>
    <w:rsid w:val="00B76EB7"/>
    <w:rsid w:val="00B77001"/>
    <w:rsid w:val="00B77787"/>
    <w:rsid w:val="00B77942"/>
    <w:rsid w:val="00B77ACF"/>
    <w:rsid w:val="00B80409"/>
    <w:rsid w:val="00B81A5B"/>
    <w:rsid w:val="00B82793"/>
    <w:rsid w:val="00B8356C"/>
    <w:rsid w:val="00B83837"/>
    <w:rsid w:val="00B843B8"/>
    <w:rsid w:val="00B8481A"/>
    <w:rsid w:val="00B86E72"/>
    <w:rsid w:val="00B87030"/>
    <w:rsid w:val="00B87C73"/>
    <w:rsid w:val="00B9074D"/>
    <w:rsid w:val="00B9161E"/>
    <w:rsid w:val="00B9359F"/>
    <w:rsid w:val="00B93E66"/>
    <w:rsid w:val="00B95097"/>
    <w:rsid w:val="00B953B6"/>
    <w:rsid w:val="00B95458"/>
    <w:rsid w:val="00B95F74"/>
    <w:rsid w:val="00B963F8"/>
    <w:rsid w:val="00B97450"/>
    <w:rsid w:val="00B97574"/>
    <w:rsid w:val="00B97919"/>
    <w:rsid w:val="00BA001F"/>
    <w:rsid w:val="00BA1A3E"/>
    <w:rsid w:val="00BA2417"/>
    <w:rsid w:val="00BA2CCB"/>
    <w:rsid w:val="00BA3E1D"/>
    <w:rsid w:val="00BA4A02"/>
    <w:rsid w:val="00BA4C78"/>
    <w:rsid w:val="00BA5922"/>
    <w:rsid w:val="00BA7708"/>
    <w:rsid w:val="00BB1755"/>
    <w:rsid w:val="00BB2B10"/>
    <w:rsid w:val="00BB2D4A"/>
    <w:rsid w:val="00BB4822"/>
    <w:rsid w:val="00BB4D3A"/>
    <w:rsid w:val="00BB74A2"/>
    <w:rsid w:val="00BB7CC5"/>
    <w:rsid w:val="00BC05B5"/>
    <w:rsid w:val="00BC16ED"/>
    <w:rsid w:val="00BC39DB"/>
    <w:rsid w:val="00BC3C92"/>
    <w:rsid w:val="00BC4388"/>
    <w:rsid w:val="00BC4A63"/>
    <w:rsid w:val="00BD0667"/>
    <w:rsid w:val="00BD178D"/>
    <w:rsid w:val="00BD2A44"/>
    <w:rsid w:val="00BD339F"/>
    <w:rsid w:val="00BD41AE"/>
    <w:rsid w:val="00BD6334"/>
    <w:rsid w:val="00BD68DA"/>
    <w:rsid w:val="00BD6F06"/>
    <w:rsid w:val="00BD71A4"/>
    <w:rsid w:val="00BE01DE"/>
    <w:rsid w:val="00BE1D40"/>
    <w:rsid w:val="00BE25C0"/>
    <w:rsid w:val="00BE535C"/>
    <w:rsid w:val="00BE5A54"/>
    <w:rsid w:val="00BE6CB7"/>
    <w:rsid w:val="00BE76A8"/>
    <w:rsid w:val="00BF134B"/>
    <w:rsid w:val="00BF1819"/>
    <w:rsid w:val="00BF23FB"/>
    <w:rsid w:val="00BF2528"/>
    <w:rsid w:val="00BF3A19"/>
    <w:rsid w:val="00BF3BA8"/>
    <w:rsid w:val="00BF45B4"/>
    <w:rsid w:val="00BF5D6A"/>
    <w:rsid w:val="00BF5F0E"/>
    <w:rsid w:val="00BF68F4"/>
    <w:rsid w:val="00BF7526"/>
    <w:rsid w:val="00BF7D89"/>
    <w:rsid w:val="00C04512"/>
    <w:rsid w:val="00C04D80"/>
    <w:rsid w:val="00C04F85"/>
    <w:rsid w:val="00C062DA"/>
    <w:rsid w:val="00C10CBE"/>
    <w:rsid w:val="00C12452"/>
    <w:rsid w:val="00C12A02"/>
    <w:rsid w:val="00C16F34"/>
    <w:rsid w:val="00C1725A"/>
    <w:rsid w:val="00C20020"/>
    <w:rsid w:val="00C20F98"/>
    <w:rsid w:val="00C2153A"/>
    <w:rsid w:val="00C21794"/>
    <w:rsid w:val="00C231AC"/>
    <w:rsid w:val="00C24C68"/>
    <w:rsid w:val="00C25F68"/>
    <w:rsid w:val="00C301A4"/>
    <w:rsid w:val="00C3105F"/>
    <w:rsid w:val="00C31DE8"/>
    <w:rsid w:val="00C3529A"/>
    <w:rsid w:val="00C36C29"/>
    <w:rsid w:val="00C401DD"/>
    <w:rsid w:val="00C409B3"/>
    <w:rsid w:val="00C41811"/>
    <w:rsid w:val="00C43409"/>
    <w:rsid w:val="00C44204"/>
    <w:rsid w:val="00C443C8"/>
    <w:rsid w:val="00C45812"/>
    <w:rsid w:val="00C45E8F"/>
    <w:rsid w:val="00C461E2"/>
    <w:rsid w:val="00C4700C"/>
    <w:rsid w:val="00C47636"/>
    <w:rsid w:val="00C500C1"/>
    <w:rsid w:val="00C50153"/>
    <w:rsid w:val="00C50D86"/>
    <w:rsid w:val="00C513A0"/>
    <w:rsid w:val="00C52B60"/>
    <w:rsid w:val="00C532D8"/>
    <w:rsid w:val="00C538E9"/>
    <w:rsid w:val="00C55AAC"/>
    <w:rsid w:val="00C56327"/>
    <w:rsid w:val="00C569B8"/>
    <w:rsid w:val="00C572DF"/>
    <w:rsid w:val="00C57555"/>
    <w:rsid w:val="00C57649"/>
    <w:rsid w:val="00C60C05"/>
    <w:rsid w:val="00C61541"/>
    <w:rsid w:val="00C617B4"/>
    <w:rsid w:val="00C62CDA"/>
    <w:rsid w:val="00C62E68"/>
    <w:rsid w:val="00C630E9"/>
    <w:rsid w:val="00C6328E"/>
    <w:rsid w:val="00C63357"/>
    <w:rsid w:val="00C633F3"/>
    <w:rsid w:val="00C6410F"/>
    <w:rsid w:val="00C64B82"/>
    <w:rsid w:val="00C64E7E"/>
    <w:rsid w:val="00C64EC5"/>
    <w:rsid w:val="00C67425"/>
    <w:rsid w:val="00C71CEC"/>
    <w:rsid w:val="00C72061"/>
    <w:rsid w:val="00C731B9"/>
    <w:rsid w:val="00C73314"/>
    <w:rsid w:val="00C7443E"/>
    <w:rsid w:val="00C7464B"/>
    <w:rsid w:val="00C74D25"/>
    <w:rsid w:val="00C75115"/>
    <w:rsid w:val="00C756C2"/>
    <w:rsid w:val="00C76F4E"/>
    <w:rsid w:val="00C81D73"/>
    <w:rsid w:val="00C837B0"/>
    <w:rsid w:val="00C8478E"/>
    <w:rsid w:val="00C84A04"/>
    <w:rsid w:val="00C85459"/>
    <w:rsid w:val="00C857A8"/>
    <w:rsid w:val="00C85A6C"/>
    <w:rsid w:val="00C85D9C"/>
    <w:rsid w:val="00C86DE2"/>
    <w:rsid w:val="00C90CF3"/>
    <w:rsid w:val="00C928F1"/>
    <w:rsid w:val="00C92F00"/>
    <w:rsid w:val="00C9640C"/>
    <w:rsid w:val="00C96940"/>
    <w:rsid w:val="00C96B44"/>
    <w:rsid w:val="00C97582"/>
    <w:rsid w:val="00CA01E9"/>
    <w:rsid w:val="00CA19FF"/>
    <w:rsid w:val="00CA1F61"/>
    <w:rsid w:val="00CA23E5"/>
    <w:rsid w:val="00CA59D1"/>
    <w:rsid w:val="00CA6123"/>
    <w:rsid w:val="00CA78FF"/>
    <w:rsid w:val="00CB0544"/>
    <w:rsid w:val="00CB089F"/>
    <w:rsid w:val="00CB0E33"/>
    <w:rsid w:val="00CB441C"/>
    <w:rsid w:val="00CB72F3"/>
    <w:rsid w:val="00CB7AAA"/>
    <w:rsid w:val="00CC17F0"/>
    <w:rsid w:val="00CC27C3"/>
    <w:rsid w:val="00CC2FEF"/>
    <w:rsid w:val="00CD040D"/>
    <w:rsid w:val="00CD300F"/>
    <w:rsid w:val="00CD4C5C"/>
    <w:rsid w:val="00CD6099"/>
    <w:rsid w:val="00CD6822"/>
    <w:rsid w:val="00CD69B7"/>
    <w:rsid w:val="00CE050C"/>
    <w:rsid w:val="00CE1127"/>
    <w:rsid w:val="00CE11D9"/>
    <w:rsid w:val="00CE3DFA"/>
    <w:rsid w:val="00CE44A4"/>
    <w:rsid w:val="00CE5186"/>
    <w:rsid w:val="00CE5421"/>
    <w:rsid w:val="00CE6D59"/>
    <w:rsid w:val="00CE778A"/>
    <w:rsid w:val="00CF0F52"/>
    <w:rsid w:val="00CF16CB"/>
    <w:rsid w:val="00CF1FC9"/>
    <w:rsid w:val="00CF29C7"/>
    <w:rsid w:val="00CF29E5"/>
    <w:rsid w:val="00CF2A7D"/>
    <w:rsid w:val="00CF317C"/>
    <w:rsid w:val="00CF3760"/>
    <w:rsid w:val="00CF3937"/>
    <w:rsid w:val="00CF5598"/>
    <w:rsid w:val="00CF5CA5"/>
    <w:rsid w:val="00CF647D"/>
    <w:rsid w:val="00CF701A"/>
    <w:rsid w:val="00CF74C3"/>
    <w:rsid w:val="00D009F3"/>
    <w:rsid w:val="00D01463"/>
    <w:rsid w:val="00D01ECA"/>
    <w:rsid w:val="00D0219C"/>
    <w:rsid w:val="00D047A0"/>
    <w:rsid w:val="00D075D4"/>
    <w:rsid w:val="00D07C38"/>
    <w:rsid w:val="00D11356"/>
    <w:rsid w:val="00D11CB9"/>
    <w:rsid w:val="00D13253"/>
    <w:rsid w:val="00D13BB7"/>
    <w:rsid w:val="00D14310"/>
    <w:rsid w:val="00D1751F"/>
    <w:rsid w:val="00D208BD"/>
    <w:rsid w:val="00D21014"/>
    <w:rsid w:val="00D212DD"/>
    <w:rsid w:val="00D21782"/>
    <w:rsid w:val="00D218D4"/>
    <w:rsid w:val="00D2433D"/>
    <w:rsid w:val="00D26283"/>
    <w:rsid w:val="00D27233"/>
    <w:rsid w:val="00D27526"/>
    <w:rsid w:val="00D27D70"/>
    <w:rsid w:val="00D27EAC"/>
    <w:rsid w:val="00D306DA"/>
    <w:rsid w:val="00D30CA3"/>
    <w:rsid w:val="00D332A4"/>
    <w:rsid w:val="00D33900"/>
    <w:rsid w:val="00D33FA0"/>
    <w:rsid w:val="00D349B0"/>
    <w:rsid w:val="00D35A4A"/>
    <w:rsid w:val="00D36889"/>
    <w:rsid w:val="00D36A46"/>
    <w:rsid w:val="00D4035A"/>
    <w:rsid w:val="00D40D87"/>
    <w:rsid w:val="00D40EF4"/>
    <w:rsid w:val="00D411AB"/>
    <w:rsid w:val="00D41A30"/>
    <w:rsid w:val="00D41C40"/>
    <w:rsid w:val="00D4308A"/>
    <w:rsid w:val="00D43F7D"/>
    <w:rsid w:val="00D44CD9"/>
    <w:rsid w:val="00D45F58"/>
    <w:rsid w:val="00D4706A"/>
    <w:rsid w:val="00D4726F"/>
    <w:rsid w:val="00D472B4"/>
    <w:rsid w:val="00D47910"/>
    <w:rsid w:val="00D5084D"/>
    <w:rsid w:val="00D513E9"/>
    <w:rsid w:val="00D53EC1"/>
    <w:rsid w:val="00D54020"/>
    <w:rsid w:val="00D54FDB"/>
    <w:rsid w:val="00D561BF"/>
    <w:rsid w:val="00D624B9"/>
    <w:rsid w:val="00D62B72"/>
    <w:rsid w:val="00D64359"/>
    <w:rsid w:val="00D6489D"/>
    <w:rsid w:val="00D6499D"/>
    <w:rsid w:val="00D64CF6"/>
    <w:rsid w:val="00D6576D"/>
    <w:rsid w:val="00D667C9"/>
    <w:rsid w:val="00D67F1B"/>
    <w:rsid w:val="00D70441"/>
    <w:rsid w:val="00D7257B"/>
    <w:rsid w:val="00D7322B"/>
    <w:rsid w:val="00D73D7A"/>
    <w:rsid w:val="00D74673"/>
    <w:rsid w:val="00D74B9C"/>
    <w:rsid w:val="00D75936"/>
    <w:rsid w:val="00D76590"/>
    <w:rsid w:val="00D76C67"/>
    <w:rsid w:val="00D807B9"/>
    <w:rsid w:val="00D80B49"/>
    <w:rsid w:val="00D80C9E"/>
    <w:rsid w:val="00D819B5"/>
    <w:rsid w:val="00D81FB2"/>
    <w:rsid w:val="00D82BCA"/>
    <w:rsid w:val="00D846DC"/>
    <w:rsid w:val="00D84CB9"/>
    <w:rsid w:val="00D84F79"/>
    <w:rsid w:val="00D85EAF"/>
    <w:rsid w:val="00D86376"/>
    <w:rsid w:val="00D86782"/>
    <w:rsid w:val="00D86C69"/>
    <w:rsid w:val="00D90621"/>
    <w:rsid w:val="00D91D72"/>
    <w:rsid w:val="00D91FBD"/>
    <w:rsid w:val="00D921C6"/>
    <w:rsid w:val="00D9223C"/>
    <w:rsid w:val="00D9248D"/>
    <w:rsid w:val="00D92C86"/>
    <w:rsid w:val="00D92FE1"/>
    <w:rsid w:val="00D95053"/>
    <w:rsid w:val="00D96E2A"/>
    <w:rsid w:val="00DA0777"/>
    <w:rsid w:val="00DA0841"/>
    <w:rsid w:val="00DA0C99"/>
    <w:rsid w:val="00DA12C4"/>
    <w:rsid w:val="00DA1E04"/>
    <w:rsid w:val="00DA37E0"/>
    <w:rsid w:val="00DA5B45"/>
    <w:rsid w:val="00DB00DC"/>
    <w:rsid w:val="00DB202D"/>
    <w:rsid w:val="00DB214B"/>
    <w:rsid w:val="00DB216F"/>
    <w:rsid w:val="00DB3365"/>
    <w:rsid w:val="00DB39BF"/>
    <w:rsid w:val="00DB4809"/>
    <w:rsid w:val="00DB4DA1"/>
    <w:rsid w:val="00DB6F99"/>
    <w:rsid w:val="00DB71AB"/>
    <w:rsid w:val="00DC1D03"/>
    <w:rsid w:val="00DC2EA2"/>
    <w:rsid w:val="00DC5D9F"/>
    <w:rsid w:val="00DC61A0"/>
    <w:rsid w:val="00DC684C"/>
    <w:rsid w:val="00DC7FA5"/>
    <w:rsid w:val="00DD044B"/>
    <w:rsid w:val="00DD2606"/>
    <w:rsid w:val="00DD26AE"/>
    <w:rsid w:val="00DD2AB7"/>
    <w:rsid w:val="00DD3828"/>
    <w:rsid w:val="00DD4074"/>
    <w:rsid w:val="00DD42B1"/>
    <w:rsid w:val="00DD4AB0"/>
    <w:rsid w:val="00DD4DC9"/>
    <w:rsid w:val="00DD5709"/>
    <w:rsid w:val="00DD6180"/>
    <w:rsid w:val="00DD6FE6"/>
    <w:rsid w:val="00DD70C6"/>
    <w:rsid w:val="00DD7D26"/>
    <w:rsid w:val="00DE0CF6"/>
    <w:rsid w:val="00DE19BB"/>
    <w:rsid w:val="00DE20D2"/>
    <w:rsid w:val="00DE2B01"/>
    <w:rsid w:val="00DE320D"/>
    <w:rsid w:val="00DE3678"/>
    <w:rsid w:val="00DE3FEB"/>
    <w:rsid w:val="00DE4C8F"/>
    <w:rsid w:val="00DE5F52"/>
    <w:rsid w:val="00DE704A"/>
    <w:rsid w:val="00DE7E52"/>
    <w:rsid w:val="00DF2049"/>
    <w:rsid w:val="00DF3661"/>
    <w:rsid w:val="00DF3C1A"/>
    <w:rsid w:val="00DF483A"/>
    <w:rsid w:val="00DF525B"/>
    <w:rsid w:val="00E02999"/>
    <w:rsid w:val="00E04587"/>
    <w:rsid w:val="00E04DAC"/>
    <w:rsid w:val="00E060EA"/>
    <w:rsid w:val="00E06B46"/>
    <w:rsid w:val="00E11601"/>
    <w:rsid w:val="00E11D26"/>
    <w:rsid w:val="00E14474"/>
    <w:rsid w:val="00E15EBC"/>
    <w:rsid w:val="00E1601C"/>
    <w:rsid w:val="00E1737F"/>
    <w:rsid w:val="00E20747"/>
    <w:rsid w:val="00E22653"/>
    <w:rsid w:val="00E2390F"/>
    <w:rsid w:val="00E2475B"/>
    <w:rsid w:val="00E24BA6"/>
    <w:rsid w:val="00E25285"/>
    <w:rsid w:val="00E26FAE"/>
    <w:rsid w:val="00E27455"/>
    <w:rsid w:val="00E277F5"/>
    <w:rsid w:val="00E33B35"/>
    <w:rsid w:val="00E33F1C"/>
    <w:rsid w:val="00E34502"/>
    <w:rsid w:val="00E348C8"/>
    <w:rsid w:val="00E35B1F"/>
    <w:rsid w:val="00E35F38"/>
    <w:rsid w:val="00E4147E"/>
    <w:rsid w:val="00E414D1"/>
    <w:rsid w:val="00E41672"/>
    <w:rsid w:val="00E41724"/>
    <w:rsid w:val="00E42805"/>
    <w:rsid w:val="00E429A4"/>
    <w:rsid w:val="00E431DE"/>
    <w:rsid w:val="00E440D0"/>
    <w:rsid w:val="00E4590E"/>
    <w:rsid w:val="00E473D8"/>
    <w:rsid w:val="00E4785F"/>
    <w:rsid w:val="00E51223"/>
    <w:rsid w:val="00E52222"/>
    <w:rsid w:val="00E5308A"/>
    <w:rsid w:val="00E538A9"/>
    <w:rsid w:val="00E53C02"/>
    <w:rsid w:val="00E54833"/>
    <w:rsid w:val="00E55810"/>
    <w:rsid w:val="00E55DDD"/>
    <w:rsid w:val="00E56AEB"/>
    <w:rsid w:val="00E573FE"/>
    <w:rsid w:val="00E57CFA"/>
    <w:rsid w:val="00E6083B"/>
    <w:rsid w:val="00E60AA0"/>
    <w:rsid w:val="00E611BF"/>
    <w:rsid w:val="00E6124B"/>
    <w:rsid w:val="00E660DC"/>
    <w:rsid w:val="00E666F7"/>
    <w:rsid w:val="00E7058A"/>
    <w:rsid w:val="00E7086C"/>
    <w:rsid w:val="00E7095C"/>
    <w:rsid w:val="00E70CE2"/>
    <w:rsid w:val="00E72BBF"/>
    <w:rsid w:val="00E730C0"/>
    <w:rsid w:val="00E73372"/>
    <w:rsid w:val="00E73377"/>
    <w:rsid w:val="00E73805"/>
    <w:rsid w:val="00E7515F"/>
    <w:rsid w:val="00E75163"/>
    <w:rsid w:val="00E7751E"/>
    <w:rsid w:val="00E810B1"/>
    <w:rsid w:val="00E81B8B"/>
    <w:rsid w:val="00E8412E"/>
    <w:rsid w:val="00E850B2"/>
    <w:rsid w:val="00E85433"/>
    <w:rsid w:val="00E86917"/>
    <w:rsid w:val="00E86AE5"/>
    <w:rsid w:val="00E9189B"/>
    <w:rsid w:val="00E91AF4"/>
    <w:rsid w:val="00E93EE7"/>
    <w:rsid w:val="00E9431F"/>
    <w:rsid w:val="00E9437B"/>
    <w:rsid w:val="00E96637"/>
    <w:rsid w:val="00E97251"/>
    <w:rsid w:val="00EA05A0"/>
    <w:rsid w:val="00EA19C5"/>
    <w:rsid w:val="00EA1BA3"/>
    <w:rsid w:val="00EA48A8"/>
    <w:rsid w:val="00EA5548"/>
    <w:rsid w:val="00EA5C69"/>
    <w:rsid w:val="00EA6EC5"/>
    <w:rsid w:val="00EA746F"/>
    <w:rsid w:val="00EB0298"/>
    <w:rsid w:val="00EB28EF"/>
    <w:rsid w:val="00EB3207"/>
    <w:rsid w:val="00EB37C0"/>
    <w:rsid w:val="00EB384D"/>
    <w:rsid w:val="00EB4842"/>
    <w:rsid w:val="00EB5CE1"/>
    <w:rsid w:val="00EC0437"/>
    <w:rsid w:val="00EC1CA9"/>
    <w:rsid w:val="00EC2BDD"/>
    <w:rsid w:val="00EC3687"/>
    <w:rsid w:val="00EC4967"/>
    <w:rsid w:val="00EC5693"/>
    <w:rsid w:val="00EC6410"/>
    <w:rsid w:val="00EC6600"/>
    <w:rsid w:val="00EC713E"/>
    <w:rsid w:val="00ED354D"/>
    <w:rsid w:val="00ED4198"/>
    <w:rsid w:val="00ED49B5"/>
    <w:rsid w:val="00ED5192"/>
    <w:rsid w:val="00ED7CF7"/>
    <w:rsid w:val="00ED7EA9"/>
    <w:rsid w:val="00EE550C"/>
    <w:rsid w:val="00EE719B"/>
    <w:rsid w:val="00EE7D36"/>
    <w:rsid w:val="00EF00C1"/>
    <w:rsid w:val="00EF0E56"/>
    <w:rsid w:val="00EF1A17"/>
    <w:rsid w:val="00EF3595"/>
    <w:rsid w:val="00EF3BF6"/>
    <w:rsid w:val="00EF3DE1"/>
    <w:rsid w:val="00EF4B0A"/>
    <w:rsid w:val="00EF57EA"/>
    <w:rsid w:val="00EF777B"/>
    <w:rsid w:val="00EF78B4"/>
    <w:rsid w:val="00F006B7"/>
    <w:rsid w:val="00F01376"/>
    <w:rsid w:val="00F0187C"/>
    <w:rsid w:val="00F02517"/>
    <w:rsid w:val="00F05383"/>
    <w:rsid w:val="00F06110"/>
    <w:rsid w:val="00F07083"/>
    <w:rsid w:val="00F1051B"/>
    <w:rsid w:val="00F10674"/>
    <w:rsid w:val="00F1104A"/>
    <w:rsid w:val="00F12BFB"/>
    <w:rsid w:val="00F13975"/>
    <w:rsid w:val="00F13B22"/>
    <w:rsid w:val="00F1417C"/>
    <w:rsid w:val="00F14536"/>
    <w:rsid w:val="00F14ED0"/>
    <w:rsid w:val="00F15142"/>
    <w:rsid w:val="00F15180"/>
    <w:rsid w:val="00F15563"/>
    <w:rsid w:val="00F1649E"/>
    <w:rsid w:val="00F209C7"/>
    <w:rsid w:val="00F20FE1"/>
    <w:rsid w:val="00F2170D"/>
    <w:rsid w:val="00F222D5"/>
    <w:rsid w:val="00F228A8"/>
    <w:rsid w:val="00F268EB"/>
    <w:rsid w:val="00F275B7"/>
    <w:rsid w:val="00F27FF8"/>
    <w:rsid w:val="00F31310"/>
    <w:rsid w:val="00F316DC"/>
    <w:rsid w:val="00F31F67"/>
    <w:rsid w:val="00F34C3F"/>
    <w:rsid w:val="00F365FD"/>
    <w:rsid w:val="00F41F53"/>
    <w:rsid w:val="00F44A24"/>
    <w:rsid w:val="00F45ADB"/>
    <w:rsid w:val="00F50476"/>
    <w:rsid w:val="00F51F1B"/>
    <w:rsid w:val="00F54972"/>
    <w:rsid w:val="00F550E3"/>
    <w:rsid w:val="00F55B28"/>
    <w:rsid w:val="00F56938"/>
    <w:rsid w:val="00F621FD"/>
    <w:rsid w:val="00F62EB9"/>
    <w:rsid w:val="00F6452B"/>
    <w:rsid w:val="00F66110"/>
    <w:rsid w:val="00F66D9A"/>
    <w:rsid w:val="00F67C70"/>
    <w:rsid w:val="00F71896"/>
    <w:rsid w:val="00F72695"/>
    <w:rsid w:val="00F7503B"/>
    <w:rsid w:val="00F75112"/>
    <w:rsid w:val="00F7584A"/>
    <w:rsid w:val="00F768B8"/>
    <w:rsid w:val="00F7748D"/>
    <w:rsid w:val="00F77D8A"/>
    <w:rsid w:val="00F80E70"/>
    <w:rsid w:val="00F81723"/>
    <w:rsid w:val="00F82289"/>
    <w:rsid w:val="00F828DB"/>
    <w:rsid w:val="00F8362D"/>
    <w:rsid w:val="00F84460"/>
    <w:rsid w:val="00F84AEA"/>
    <w:rsid w:val="00F86224"/>
    <w:rsid w:val="00F8633E"/>
    <w:rsid w:val="00F878D8"/>
    <w:rsid w:val="00F87B91"/>
    <w:rsid w:val="00F87F1C"/>
    <w:rsid w:val="00F903DC"/>
    <w:rsid w:val="00F90C61"/>
    <w:rsid w:val="00F91F9D"/>
    <w:rsid w:val="00F9205D"/>
    <w:rsid w:val="00F92EB9"/>
    <w:rsid w:val="00F932F7"/>
    <w:rsid w:val="00F93DCD"/>
    <w:rsid w:val="00F940B6"/>
    <w:rsid w:val="00F94F14"/>
    <w:rsid w:val="00F95277"/>
    <w:rsid w:val="00F95521"/>
    <w:rsid w:val="00F95583"/>
    <w:rsid w:val="00F95A4C"/>
    <w:rsid w:val="00F969DD"/>
    <w:rsid w:val="00F9794C"/>
    <w:rsid w:val="00FA0F1F"/>
    <w:rsid w:val="00FA12A4"/>
    <w:rsid w:val="00FA1555"/>
    <w:rsid w:val="00FA18C5"/>
    <w:rsid w:val="00FA3C3F"/>
    <w:rsid w:val="00FA4B81"/>
    <w:rsid w:val="00FA5C2E"/>
    <w:rsid w:val="00FA663C"/>
    <w:rsid w:val="00FA71BA"/>
    <w:rsid w:val="00FB0CB5"/>
    <w:rsid w:val="00FB19AB"/>
    <w:rsid w:val="00FB2B63"/>
    <w:rsid w:val="00FB30AB"/>
    <w:rsid w:val="00FB34C4"/>
    <w:rsid w:val="00FB5A5C"/>
    <w:rsid w:val="00FC1785"/>
    <w:rsid w:val="00FC6D28"/>
    <w:rsid w:val="00FC7337"/>
    <w:rsid w:val="00FD075E"/>
    <w:rsid w:val="00FD137E"/>
    <w:rsid w:val="00FD19E7"/>
    <w:rsid w:val="00FD21F9"/>
    <w:rsid w:val="00FD28B4"/>
    <w:rsid w:val="00FD4534"/>
    <w:rsid w:val="00FD45CF"/>
    <w:rsid w:val="00FD4D9D"/>
    <w:rsid w:val="00FD4F65"/>
    <w:rsid w:val="00FD5707"/>
    <w:rsid w:val="00FD71F2"/>
    <w:rsid w:val="00FD7218"/>
    <w:rsid w:val="00FE0A2C"/>
    <w:rsid w:val="00FE0C71"/>
    <w:rsid w:val="00FE10F3"/>
    <w:rsid w:val="00FE5D60"/>
    <w:rsid w:val="00FE7D95"/>
    <w:rsid w:val="00FF0595"/>
    <w:rsid w:val="00FF0943"/>
    <w:rsid w:val="00FF0A07"/>
    <w:rsid w:val="00FF1D32"/>
    <w:rsid w:val="00FF21D1"/>
    <w:rsid w:val="00FF3184"/>
    <w:rsid w:val="00FF512F"/>
    <w:rsid w:val="00FF53C3"/>
    <w:rsid w:val="00FF5C3D"/>
    <w:rsid w:val="00FF5F1F"/>
    <w:rsid w:val="00FF65FD"/>
    <w:rsid w:val="00FF6909"/>
    <w:rsid w:val="00FF78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8D6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63"/>
    <w:pPr>
      <w:spacing w:after="120" w:line="360" w:lineRule="auto"/>
      <w:ind w:firstLine="709"/>
      <w:jc w:val="both"/>
    </w:pPr>
    <w:rPr>
      <w:rFonts w:ascii="Garamond" w:hAnsi="Garamond"/>
      <w:sz w:val="24"/>
    </w:rPr>
  </w:style>
  <w:style w:type="paragraph" w:styleId="Ttulo1">
    <w:name w:val="heading 1"/>
    <w:basedOn w:val="Normal"/>
    <w:next w:val="Normal"/>
    <w:link w:val="Ttulo1Car"/>
    <w:qFormat/>
    <w:rsid w:val="00942356"/>
    <w:pPr>
      <w:keepNext/>
      <w:outlineLvl w:val="0"/>
    </w:pPr>
    <w:rPr>
      <w:rFonts w:eastAsia="Times New Roman" w:cs="Arial"/>
      <w:b/>
      <w:bCs/>
      <w:smallCaps/>
      <w:kern w:val="32"/>
      <w:szCs w:val="24"/>
      <w:lang w:eastAsia="es-ES_tradnl"/>
    </w:rPr>
  </w:style>
  <w:style w:type="paragraph" w:styleId="Ttulo2">
    <w:name w:val="heading 2"/>
    <w:basedOn w:val="Normal"/>
    <w:next w:val="Normal"/>
    <w:link w:val="Ttulo2Car"/>
    <w:uiPriority w:val="9"/>
    <w:unhideWhenUsed/>
    <w:qFormat/>
    <w:rsid w:val="00942356"/>
    <w:pPr>
      <w:keepNext/>
      <w:keepLines/>
      <w:outlineLvl w:val="1"/>
    </w:pPr>
    <w:rPr>
      <w:rFonts w:eastAsiaTheme="majorEastAsia" w:cstheme="majorBidi"/>
      <w:i/>
      <w:szCs w:val="26"/>
      <w:lang w:eastAsia="es-ES_tradnl"/>
    </w:rPr>
  </w:style>
  <w:style w:type="paragraph" w:styleId="Ttulo3">
    <w:name w:val="heading 3"/>
    <w:basedOn w:val="Normal"/>
    <w:next w:val="Normal"/>
    <w:link w:val="Ttulo3Car"/>
    <w:unhideWhenUsed/>
    <w:rsid w:val="008D294A"/>
    <w:pPr>
      <w:keepNext/>
      <w:outlineLvl w:val="2"/>
    </w:pPr>
    <w:rPr>
      <w:rFonts w:eastAsiaTheme="majorEastAsia" w:cstheme="majorBidi"/>
      <w:bCs/>
      <w:szCs w:val="26"/>
    </w:rPr>
  </w:style>
  <w:style w:type="paragraph" w:styleId="Ttulo4">
    <w:name w:val="heading 4"/>
    <w:basedOn w:val="Normal"/>
    <w:next w:val="Normal"/>
    <w:link w:val="Ttulo4Car"/>
    <w:uiPriority w:val="9"/>
    <w:semiHidden/>
    <w:unhideWhenUsed/>
    <w:rsid w:val="00023A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42356"/>
    <w:rPr>
      <w:rFonts w:ascii="Garamond" w:eastAsiaTheme="majorEastAsia" w:hAnsi="Garamond" w:cstheme="majorBidi"/>
      <w:i/>
      <w:sz w:val="24"/>
      <w:szCs w:val="26"/>
      <w:lang w:eastAsia="es-ES_tradnl"/>
    </w:rPr>
  </w:style>
  <w:style w:type="character" w:customStyle="1" w:styleId="Ttulo1Car">
    <w:name w:val="Título 1 Car"/>
    <w:basedOn w:val="Fuentedeprrafopredeter"/>
    <w:link w:val="Ttulo1"/>
    <w:rsid w:val="00942356"/>
    <w:rPr>
      <w:rFonts w:ascii="Garamond" w:eastAsia="Times New Roman" w:hAnsi="Garamond" w:cs="Arial"/>
      <w:b/>
      <w:bCs/>
      <w:smallCaps/>
      <w:kern w:val="32"/>
      <w:sz w:val="24"/>
      <w:szCs w:val="24"/>
      <w:lang w:eastAsia="es-ES_tradnl"/>
    </w:rPr>
  </w:style>
  <w:style w:type="paragraph" w:styleId="Textonotapie">
    <w:name w:val="footnote text"/>
    <w:basedOn w:val="Normal"/>
    <w:link w:val="TextonotapieCar"/>
    <w:uiPriority w:val="99"/>
    <w:rsid w:val="0039283A"/>
    <w:pPr>
      <w:spacing w:after="0" w:line="240" w:lineRule="auto"/>
      <w:ind w:firstLine="0"/>
    </w:pPr>
    <w:rPr>
      <w:sz w:val="20"/>
      <w:lang w:eastAsia="es-ES"/>
    </w:rPr>
  </w:style>
  <w:style w:type="character" w:customStyle="1" w:styleId="TextonotapieCar">
    <w:name w:val="Texto nota pie Car"/>
    <w:link w:val="Textonotapie"/>
    <w:uiPriority w:val="99"/>
    <w:rsid w:val="0039283A"/>
    <w:rPr>
      <w:rFonts w:ascii="Garamond" w:hAnsi="Garamond"/>
      <w:sz w:val="20"/>
      <w:lang w:eastAsia="es-ES"/>
    </w:rPr>
  </w:style>
  <w:style w:type="paragraph" w:customStyle="1" w:styleId="Citart">
    <w:name w:val="Cit. art."/>
    <w:basedOn w:val="Normal"/>
    <w:rsid w:val="00D513E9"/>
    <w:pPr>
      <w:ind w:left="567"/>
    </w:pPr>
    <w:rPr>
      <w:sz w:val="20"/>
      <w:szCs w:val="24"/>
    </w:rPr>
  </w:style>
  <w:style w:type="paragraph" w:styleId="TDC2">
    <w:name w:val="toc 2"/>
    <w:basedOn w:val="Normal"/>
    <w:next w:val="Normal"/>
    <w:autoRedefine/>
    <w:uiPriority w:val="39"/>
    <w:rsid w:val="00726A74"/>
    <w:pPr>
      <w:tabs>
        <w:tab w:val="right" w:leader="dot" w:pos="8494"/>
      </w:tabs>
      <w:spacing w:after="100" w:line="240" w:lineRule="auto"/>
      <w:ind w:left="1276" w:hanging="283"/>
    </w:pPr>
    <w:rPr>
      <w:rFonts w:eastAsia="Calibri" w:cs="Times New Roman"/>
      <w:sz w:val="20"/>
      <w:szCs w:val="24"/>
      <w:lang w:eastAsia="es-ES"/>
    </w:rPr>
  </w:style>
  <w:style w:type="paragraph" w:styleId="TDC1">
    <w:name w:val="toc 1"/>
    <w:basedOn w:val="Normal"/>
    <w:next w:val="Normal"/>
    <w:autoRedefine/>
    <w:uiPriority w:val="39"/>
    <w:rsid w:val="000C24C0"/>
    <w:pPr>
      <w:tabs>
        <w:tab w:val="right" w:leader="dot" w:pos="8494"/>
      </w:tabs>
      <w:spacing w:after="100" w:line="240" w:lineRule="auto"/>
    </w:pPr>
    <w:rPr>
      <w:rFonts w:eastAsia="Calibri" w:cs="Times New Roman"/>
      <w:sz w:val="20"/>
      <w:szCs w:val="24"/>
      <w:lang w:eastAsia="es-ES"/>
    </w:rPr>
  </w:style>
  <w:style w:type="character" w:customStyle="1" w:styleId="Ttulo3Car">
    <w:name w:val="Título 3 Car"/>
    <w:basedOn w:val="Fuentedeprrafopredeter"/>
    <w:link w:val="Ttulo3"/>
    <w:rsid w:val="008D294A"/>
    <w:rPr>
      <w:rFonts w:ascii="Garamond" w:eastAsiaTheme="majorEastAsia" w:hAnsi="Garamond" w:cstheme="majorBidi"/>
      <w:bCs/>
      <w:sz w:val="24"/>
      <w:szCs w:val="26"/>
    </w:rPr>
  </w:style>
  <w:style w:type="paragraph" w:styleId="TDC3">
    <w:name w:val="toc 3"/>
    <w:basedOn w:val="Normal"/>
    <w:next w:val="Normal"/>
    <w:uiPriority w:val="39"/>
    <w:rsid w:val="008D294A"/>
    <w:pPr>
      <w:spacing w:after="100" w:line="240" w:lineRule="auto"/>
      <w:ind w:left="482"/>
    </w:pPr>
    <w:rPr>
      <w:rFonts w:eastAsia="Calibri" w:cs="Times New Roman"/>
      <w:sz w:val="20"/>
    </w:rPr>
  </w:style>
  <w:style w:type="paragraph" w:styleId="Prrafodelista">
    <w:name w:val="List Paragraph"/>
    <w:basedOn w:val="Normal"/>
    <w:next w:val="Normal"/>
    <w:uiPriority w:val="34"/>
    <w:rsid w:val="003B230E"/>
    <w:pPr>
      <w:ind w:left="709"/>
      <w:contextualSpacing/>
    </w:pPr>
    <w:rPr>
      <w:rFonts w:eastAsia="Calibri" w:cs="Times New Roman"/>
    </w:rPr>
  </w:style>
  <w:style w:type="character" w:styleId="Refdenotaalpie">
    <w:name w:val="footnote reference"/>
    <w:basedOn w:val="Fuentedeprrafopredeter"/>
    <w:uiPriority w:val="99"/>
    <w:unhideWhenUsed/>
    <w:rsid w:val="003E0863"/>
    <w:rPr>
      <w:rFonts w:ascii="Garamond" w:hAnsi="Garamond"/>
      <w:sz w:val="24"/>
      <w:vertAlign w:val="superscript"/>
      <w:lang w:val="es-ES"/>
    </w:rPr>
  </w:style>
  <w:style w:type="paragraph" w:styleId="NormalWeb">
    <w:name w:val="Normal (Web)"/>
    <w:basedOn w:val="Normal"/>
    <w:uiPriority w:val="99"/>
    <w:semiHidden/>
    <w:unhideWhenUsed/>
    <w:rsid w:val="00090063"/>
    <w:pPr>
      <w:spacing w:before="100" w:beforeAutospacing="1" w:after="100" w:afterAutospacing="1" w:line="240" w:lineRule="auto"/>
      <w:ind w:firstLine="0"/>
      <w:jc w:val="left"/>
    </w:pPr>
    <w:rPr>
      <w:rFonts w:ascii="Times New Roman" w:eastAsia="Times New Roman" w:hAnsi="Times New Roman" w:cs="Times New Roman"/>
      <w:szCs w:val="24"/>
      <w:lang w:eastAsia="es-ES"/>
    </w:rPr>
  </w:style>
  <w:style w:type="character" w:styleId="nfasis">
    <w:name w:val="Emphasis"/>
    <w:basedOn w:val="Fuentedeprrafopredeter"/>
    <w:uiPriority w:val="20"/>
    <w:rsid w:val="00A25AE1"/>
    <w:rPr>
      <w:i/>
      <w:iCs/>
    </w:rPr>
  </w:style>
  <w:style w:type="character" w:customStyle="1" w:styleId="Ttulo4Car">
    <w:name w:val="Título 4 Car"/>
    <w:basedOn w:val="Fuentedeprrafopredeter"/>
    <w:link w:val="Ttulo4"/>
    <w:uiPriority w:val="9"/>
    <w:semiHidden/>
    <w:rsid w:val="00023A5B"/>
    <w:rPr>
      <w:rFonts w:asciiTheme="majorHAnsi" w:eastAsiaTheme="majorEastAsia" w:hAnsiTheme="majorHAnsi" w:cstheme="majorBidi"/>
      <w:i/>
      <w:iCs/>
      <w:color w:val="2E74B5" w:themeColor="accent1" w:themeShade="BF"/>
      <w:sz w:val="24"/>
    </w:rPr>
  </w:style>
  <w:style w:type="paragraph" w:customStyle="1" w:styleId="Default">
    <w:name w:val="Default"/>
    <w:rsid w:val="00B6112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593C15"/>
    <w:rPr>
      <w:color w:val="0000FF"/>
      <w:u w:val="single"/>
    </w:rPr>
  </w:style>
  <w:style w:type="character" w:customStyle="1" w:styleId="Mencinsinresolver1">
    <w:name w:val="Mención sin resolver1"/>
    <w:basedOn w:val="Fuentedeprrafopredeter"/>
    <w:uiPriority w:val="99"/>
    <w:semiHidden/>
    <w:unhideWhenUsed/>
    <w:rsid w:val="00593C15"/>
    <w:rPr>
      <w:color w:val="605E5C"/>
      <w:shd w:val="clear" w:color="auto" w:fill="E1DFDD"/>
    </w:rPr>
  </w:style>
  <w:style w:type="character" w:styleId="Textoennegrita">
    <w:name w:val="Strong"/>
    <w:basedOn w:val="Fuentedeprrafopredeter"/>
    <w:uiPriority w:val="22"/>
    <w:rsid w:val="00AE00FA"/>
    <w:rPr>
      <w:b/>
      <w:bCs/>
    </w:rPr>
  </w:style>
  <w:style w:type="character" w:customStyle="1" w:styleId="user-highlighted-active">
    <w:name w:val="user-highlighted-active"/>
    <w:basedOn w:val="Fuentedeprrafopredeter"/>
    <w:rsid w:val="00303CFF"/>
  </w:style>
  <w:style w:type="paragraph" w:customStyle="1" w:styleId="parrafo2">
    <w:name w:val="parrafo_2"/>
    <w:basedOn w:val="Normal"/>
    <w:rsid w:val="001B71F7"/>
    <w:pPr>
      <w:spacing w:before="100" w:beforeAutospacing="1" w:after="100" w:afterAutospacing="1" w:line="240" w:lineRule="auto"/>
      <w:ind w:firstLine="0"/>
      <w:jc w:val="left"/>
    </w:pPr>
    <w:rPr>
      <w:rFonts w:ascii="Times New Roman" w:eastAsia="Times New Roman" w:hAnsi="Times New Roman" w:cs="Times New Roman"/>
      <w:szCs w:val="24"/>
      <w:lang w:eastAsia="es-ES"/>
    </w:rPr>
  </w:style>
  <w:style w:type="paragraph" w:customStyle="1" w:styleId="parrafo">
    <w:name w:val="parrafo"/>
    <w:basedOn w:val="Normal"/>
    <w:rsid w:val="001B71F7"/>
    <w:pPr>
      <w:spacing w:before="100" w:beforeAutospacing="1" w:after="100" w:afterAutospacing="1" w:line="240" w:lineRule="auto"/>
      <w:ind w:firstLine="0"/>
      <w:jc w:val="left"/>
    </w:pPr>
    <w:rPr>
      <w:rFonts w:ascii="Times New Roman" w:eastAsia="Times New Roman" w:hAnsi="Times New Roman" w:cs="Times New Roman"/>
      <w:szCs w:val="24"/>
      <w:lang w:eastAsia="es-ES"/>
    </w:rPr>
  </w:style>
  <w:style w:type="paragraph" w:customStyle="1" w:styleId="title-doc-first">
    <w:name w:val="title-doc-first"/>
    <w:basedOn w:val="Normal"/>
    <w:rsid w:val="00914B13"/>
    <w:pPr>
      <w:spacing w:before="100" w:beforeAutospacing="1" w:after="100" w:afterAutospacing="1" w:line="240" w:lineRule="auto"/>
      <w:ind w:firstLine="0"/>
      <w:jc w:val="left"/>
    </w:pPr>
    <w:rPr>
      <w:rFonts w:ascii="Times New Roman" w:eastAsia="Times New Roman" w:hAnsi="Times New Roman" w:cs="Times New Roman"/>
      <w:szCs w:val="24"/>
      <w:lang w:eastAsia="es-ES"/>
    </w:rPr>
  </w:style>
  <w:style w:type="character" w:customStyle="1" w:styleId="titulo">
    <w:name w:val="titulo"/>
    <w:basedOn w:val="Fuentedeprrafopredeter"/>
    <w:rsid w:val="000245D8"/>
  </w:style>
  <w:style w:type="character" w:customStyle="1" w:styleId="subtitulo">
    <w:name w:val="subtitulo"/>
    <w:basedOn w:val="Fuentedeprrafopredeter"/>
    <w:rsid w:val="000245D8"/>
  </w:style>
  <w:style w:type="character" w:styleId="Refdecomentario">
    <w:name w:val="annotation reference"/>
    <w:basedOn w:val="Fuentedeprrafopredeter"/>
    <w:uiPriority w:val="99"/>
    <w:semiHidden/>
    <w:unhideWhenUsed/>
    <w:rsid w:val="00A13C13"/>
    <w:rPr>
      <w:sz w:val="16"/>
      <w:szCs w:val="16"/>
    </w:rPr>
  </w:style>
  <w:style w:type="paragraph" w:styleId="Textocomentario">
    <w:name w:val="annotation text"/>
    <w:basedOn w:val="Normal"/>
    <w:link w:val="TextocomentarioCar"/>
    <w:uiPriority w:val="99"/>
    <w:unhideWhenUsed/>
    <w:rsid w:val="00A13C13"/>
    <w:pPr>
      <w:spacing w:line="240" w:lineRule="auto"/>
    </w:pPr>
    <w:rPr>
      <w:sz w:val="20"/>
      <w:szCs w:val="20"/>
    </w:rPr>
  </w:style>
  <w:style w:type="character" w:customStyle="1" w:styleId="TextocomentarioCar">
    <w:name w:val="Texto comentario Car"/>
    <w:basedOn w:val="Fuentedeprrafopredeter"/>
    <w:link w:val="Textocomentario"/>
    <w:uiPriority w:val="99"/>
    <w:rsid w:val="00A13C13"/>
    <w:rPr>
      <w:rFonts w:ascii="Garamond" w:hAnsi="Garamond"/>
      <w:sz w:val="20"/>
      <w:szCs w:val="20"/>
    </w:rPr>
  </w:style>
  <w:style w:type="paragraph" w:styleId="Asuntodelcomentario">
    <w:name w:val="annotation subject"/>
    <w:basedOn w:val="Textocomentario"/>
    <w:next w:val="Textocomentario"/>
    <w:link w:val="AsuntodelcomentarioCar"/>
    <w:uiPriority w:val="99"/>
    <w:semiHidden/>
    <w:unhideWhenUsed/>
    <w:rsid w:val="00A13C13"/>
    <w:rPr>
      <w:b/>
      <w:bCs/>
    </w:rPr>
  </w:style>
  <w:style w:type="character" w:customStyle="1" w:styleId="AsuntodelcomentarioCar">
    <w:name w:val="Asunto del comentario Car"/>
    <w:basedOn w:val="TextocomentarioCar"/>
    <w:link w:val="Asuntodelcomentario"/>
    <w:uiPriority w:val="99"/>
    <w:semiHidden/>
    <w:rsid w:val="00A13C13"/>
    <w:rPr>
      <w:rFonts w:ascii="Garamond" w:hAnsi="Garamond"/>
      <w:b/>
      <w:bCs/>
      <w:sz w:val="20"/>
      <w:szCs w:val="20"/>
    </w:rPr>
  </w:style>
  <w:style w:type="paragraph" w:customStyle="1" w:styleId="zfr3q">
    <w:name w:val="zfr3q"/>
    <w:basedOn w:val="Normal"/>
    <w:rsid w:val="00D349B0"/>
    <w:pPr>
      <w:spacing w:before="100" w:beforeAutospacing="1" w:after="100" w:afterAutospacing="1" w:line="240" w:lineRule="auto"/>
      <w:ind w:firstLine="0"/>
      <w:jc w:val="left"/>
    </w:pPr>
    <w:rPr>
      <w:rFonts w:ascii="Times New Roman" w:eastAsia="Times New Roman" w:hAnsi="Times New Roman" w:cs="Times New Roman"/>
      <w:szCs w:val="24"/>
      <w:lang w:eastAsia="es-ES"/>
    </w:rPr>
  </w:style>
  <w:style w:type="character" w:customStyle="1" w:styleId="Mencinsinresolver2">
    <w:name w:val="Mención sin resolver2"/>
    <w:basedOn w:val="Fuentedeprrafopredeter"/>
    <w:uiPriority w:val="99"/>
    <w:semiHidden/>
    <w:unhideWhenUsed/>
    <w:rsid w:val="00757E7C"/>
    <w:rPr>
      <w:color w:val="605E5C"/>
      <w:shd w:val="clear" w:color="auto" w:fill="E1DFDD"/>
    </w:rPr>
  </w:style>
  <w:style w:type="paragraph" w:styleId="Encabezado">
    <w:name w:val="header"/>
    <w:basedOn w:val="Normal"/>
    <w:link w:val="EncabezadoCar"/>
    <w:uiPriority w:val="99"/>
    <w:unhideWhenUsed/>
    <w:rsid w:val="000176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76B7"/>
    <w:rPr>
      <w:rFonts w:ascii="Garamond" w:hAnsi="Garamond"/>
      <w:sz w:val="24"/>
    </w:rPr>
  </w:style>
  <w:style w:type="paragraph" w:styleId="Piedepgina">
    <w:name w:val="footer"/>
    <w:basedOn w:val="Normal"/>
    <w:link w:val="PiedepginaCar"/>
    <w:uiPriority w:val="99"/>
    <w:unhideWhenUsed/>
    <w:rsid w:val="000176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76B7"/>
    <w:rPr>
      <w:rFonts w:ascii="Garamond" w:hAnsi="Garamond"/>
      <w:sz w:val="24"/>
    </w:rPr>
  </w:style>
  <w:style w:type="character" w:customStyle="1" w:styleId="Mencinsinresolver3">
    <w:name w:val="Mención sin resolver3"/>
    <w:basedOn w:val="Fuentedeprrafopredeter"/>
    <w:uiPriority w:val="99"/>
    <w:semiHidden/>
    <w:unhideWhenUsed/>
    <w:rsid w:val="00E41672"/>
    <w:rPr>
      <w:color w:val="605E5C"/>
      <w:shd w:val="clear" w:color="auto" w:fill="E1DFDD"/>
    </w:rPr>
  </w:style>
  <w:style w:type="paragraph" w:styleId="TtuloTDC">
    <w:name w:val="TOC Heading"/>
    <w:basedOn w:val="Ttulo1"/>
    <w:next w:val="Normal"/>
    <w:uiPriority w:val="39"/>
    <w:unhideWhenUsed/>
    <w:qFormat/>
    <w:rsid w:val="008D2333"/>
    <w:pPr>
      <w:keepLines/>
      <w:spacing w:before="240" w:after="0" w:line="259" w:lineRule="auto"/>
      <w:ind w:firstLine="0"/>
      <w:jc w:val="left"/>
      <w:outlineLvl w:val="9"/>
    </w:pPr>
    <w:rPr>
      <w:rFonts w:asciiTheme="majorHAnsi" w:eastAsiaTheme="majorEastAsia" w:hAnsiTheme="majorHAnsi" w:cstheme="majorBidi"/>
      <w:b w:val="0"/>
      <w:bCs w:val="0"/>
      <w:smallCaps w:val="0"/>
      <w:color w:val="2E74B5" w:themeColor="accent1" w:themeShade="BF"/>
      <w:kern w:val="0"/>
      <w:sz w:val="32"/>
      <w:szCs w:val="32"/>
      <w:lang w:eastAsia="es-ES"/>
    </w:rPr>
  </w:style>
  <w:style w:type="paragraph" w:customStyle="1" w:styleId="Autor">
    <w:name w:val="Autor"/>
    <w:basedOn w:val="Normal"/>
    <w:next w:val="Normal"/>
    <w:link w:val="AutorCar"/>
    <w:rsid w:val="00256FBA"/>
    <w:pPr>
      <w:spacing w:before="120" w:after="0" w:line="240" w:lineRule="auto"/>
      <w:jc w:val="left"/>
    </w:pPr>
    <w:rPr>
      <w:rFonts w:asciiTheme="minorHAnsi" w:hAnsiTheme="minorHAnsi"/>
      <w:smallCaps/>
    </w:rPr>
  </w:style>
  <w:style w:type="character" w:customStyle="1" w:styleId="AutorCar">
    <w:name w:val="Autor Car"/>
    <w:basedOn w:val="Fuentedeprrafopredeter"/>
    <w:link w:val="Autor"/>
    <w:rsid w:val="00256FBA"/>
    <w:rPr>
      <w:smallCaps/>
      <w:sz w:val="24"/>
    </w:rPr>
  </w:style>
  <w:style w:type="paragraph" w:customStyle="1" w:styleId="Grafico">
    <w:name w:val="Grafico"/>
    <w:aliases w:val="Título Del Gráfico"/>
    <w:basedOn w:val="Normal"/>
    <w:next w:val="Normal"/>
    <w:link w:val="GraficoCar"/>
    <w:rsid w:val="00256FBA"/>
    <w:pPr>
      <w:spacing w:before="240" w:after="0" w:line="240" w:lineRule="auto"/>
      <w:ind w:firstLine="0"/>
      <w:jc w:val="center"/>
    </w:pPr>
    <w:rPr>
      <w:rFonts w:ascii="Calibri" w:hAnsi="Calibri"/>
      <w:b/>
      <w:color w:val="FFC000"/>
    </w:rPr>
  </w:style>
  <w:style w:type="character" w:customStyle="1" w:styleId="GraficoCar">
    <w:name w:val="Grafico Car"/>
    <w:aliases w:val="Título Del Gráfico Car"/>
    <w:basedOn w:val="Fuentedeprrafopredeter"/>
    <w:link w:val="Grafico"/>
    <w:rsid w:val="00256FBA"/>
    <w:rPr>
      <w:rFonts w:ascii="Calibri" w:hAnsi="Calibri"/>
      <w:b/>
      <w:color w:val="FFC000"/>
      <w:sz w:val="24"/>
    </w:rPr>
  </w:style>
  <w:style w:type="paragraph" w:customStyle="1" w:styleId="SangradoIzq">
    <w:name w:val="SangradoIzq"/>
    <w:aliases w:val="Sangrado Izquierda"/>
    <w:basedOn w:val="Normal"/>
    <w:next w:val="Normal"/>
    <w:rsid w:val="00256FBA"/>
    <w:pPr>
      <w:spacing w:before="120" w:after="0" w:line="240" w:lineRule="auto"/>
      <w:ind w:left="1134" w:firstLine="0"/>
    </w:pPr>
    <w:rPr>
      <w:rFonts w:ascii="Calibri" w:eastAsia="Times New Roman" w:hAnsi="Calibri" w:cs="Times New Roman"/>
      <w:szCs w:val="24"/>
      <w:lang w:eastAsia="es-ES"/>
    </w:rPr>
  </w:style>
  <w:style w:type="paragraph" w:customStyle="1" w:styleId="Tabla">
    <w:name w:val="Tabla"/>
    <w:aliases w:val="Título De Tabla"/>
    <w:basedOn w:val="Grafico"/>
    <w:next w:val="Normal"/>
    <w:link w:val="TablaCar"/>
    <w:rsid w:val="00256FBA"/>
    <w:rPr>
      <w:color w:val="00B0F0"/>
    </w:rPr>
  </w:style>
  <w:style w:type="character" w:customStyle="1" w:styleId="TablaCar">
    <w:name w:val="Tabla Car"/>
    <w:aliases w:val="Título De Tabla Car"/>
    <w:basedOn w:val="GraficoCar"/>
    <w:link w:val="Tabla"/>
    <w:rsid w:val="00256FBA"/>
    <w:rPr>
      <w:rFonts w:ascii="Calibri" w:hAnsi="Calibri"/>
      <w:b/>
      <w:color w:val="00B0F0"/>
      <w:sz w:val="24"/>
    </w:rPr>
  </w:style>
  <w:style w:type="paragraph" w:customStyle="1" w:styleId="SangradoIzqDcha">
    <w:name w:val="SangradoIzqDcha"/>
    <w:aliases w:val="Sangrado Izqda./dcha."/>
    <w:basedOn w:val="Normal"/>
    <w:next w:val="Normal"/>
    <w:rsid w:val="00256FBA"/>
    <w:pPr>
      <w:spacing w:before="120" w:after="0" w:line="240" w:lineRule="auto"/>
      <w:ind w:left="1134" w:right="1134" w:firstLine="0"/>
    </w:pPr>
    <w:rPr>
      <w:rFonts w:ascii="Calibri" w:eastAsia="Times New Roman" w:hAnsi="Calibri" w:cs="Times New Roman"/>
      <w:szCs w:val="24"/>
      <w:lang w:eastAsia="es-ES"/>
    </w:rPr>
  </w:style>
  <w:style w:type="paragraph" w:customStyle="1" w:styleId="CapYTituloCap">
    <w:name w:val="CapYTituloCap"/>
    <w:aliases w:val="Título Del Capítulo/artículo/tema(datos Objetivos De La Obra)"/>
    <w:basedOn w:val="Normal"/>
    <w:next w:val="Normal"/>
    <w:link w:val="CapYTituloCapCar"/>
    <w:rsid w:val="00256FBA"/>
    <w:pPr>
      <w:spacing w:before="120" w:after="0" w:line="240" w:lineRule="auto"/>
      <w:jc w:val="center"/>
      <w:outlineLvl w:val="0"/>
    </w:pPr>
    <w:rPr>
      <w:rFonts w:ascii="Arial" w:eastAsiaTheme="majorEastAsia" w:hAnsi="Arial" w:cs="Arial"/>
      <w:b/>
      <w:bCs/>
      <w:sz w:val="36"/>
      <w:szCs w:val="36"/>
    </w:rPr>
  </w:style>
  <w:style w:type="character" w:customStyle="1" w:styleId="CapYTituloCapCar">
    <w:name w:val="CapYTituloCap Car"/>
    <w:aliases w:val="Título Del Capítulo/artículo/tema(datos Objetivos De La Obra) Car"/>
    <w:basedOn w:val="Fuentedeprrafopredeter"/>
    <w:link w:val="CapYTituloCap"/>
    <w:rsid w:val="00256FBA"/>
    <w:rPr>
      <w:rFonts w:ascii="Arial" w:eastAsiaTheme="majorEastAsia" w:hAnsi="Arial" w:cs="Arial"/>
      <w:b/>
      <w:bCs/>
      <w:sz w:val="36"/>
      <w:szCs w:val="36"/>
    </w:rPr>
  </w:style>
  <w:style w:type="paragraph" w:customStyle="1" w:styleId="Esquema">
    <w:name w:val="Esquema"/>
    <w:aliases w:val="Título Del Esquema"/>
    <w:basedOn w:val="Grafico"/>
    <w:next w:val="Normal"/>
    <w:link w:val="EsquemaCar"/>
    <w:rsid w:val="00256FBA"/>
    <w:rPr>
      <w:color w:val="92D050"/>
    </w:rPr>
  </w:style>
  <w:style w:type="character" w:customStyle="1" w:styleId="EsquemaCar">
    <w:name w:val="Esquema Car"/>
    <w:aliases w:val="Título Del Esquema Car"/>
    <w:basedOn w:val="GraficoCar"/>
    <w:link w:val="Esquema"/>
    <w:rsid w:val="00256FBA"/>
    <w:rPr>
      <w:rFonts w:ascii="Calibri" w:hAnsi="Calibri"/>
      <w:b/>
      <w:color w:val="92D050"/>
      <w:sz w:val="24"/>
    </w:rPr>
  </w:style>
  <w:style w:type="paragraph" w:customStyle="1" w:styleId="IdentificadorParrafo">
    <w:name w:val="IdentificadorParrafo"/>
    <w:aliases w:val="Identificador De Párrafo"/>
    <w:basedOn w:val="Normal"/>
    <w:next w:val="Normal"/>
    <w:rsid w:val="00256FBA"/>
    <w:pPr>
      <w:framePr w:w="922" w:h="475" w:wrap="around" w:vAnchor="text" w:hAnchor="page" w:x="419" w:y="1"/>
      <w:pBdr>
        <w:top w:val="dashSmallGap" w:sz="4" w:space="1" w:color="auto"/>
        <w:left w:val="dashSmallGap" w:sz="4" w:space="4" w:color="auto"/>
        <w:bottom w:val="dashSmallGap" w:sz="4" w:space="1" w:color="auto"/>
        <w:right w:val="dashSmallGap" w:sz="4" w:space="4" w:color="auto"/>
      </w:pBdr>
      <w:shd w:val="clear" w:color="auto" w:fill="C5E0B3" w:themeFill="accent6" w:themeFillTint="66"/>
      <w:spacing w:before="120" w:after="0" w:line="240" w:lineRule="auto"/>
      <w:ind w:firstLine="0"/>
      <w:jc w:val="center"/>
    </w:pPr>
    <w:rPr>
      <w:rFonts w:ascii="Calibri" w:hAnsi="Calibri"/>
      <w:b/>
      <w:sz w:val="22"/>
      <w:szCs w:val="16"/>
    </w:rPr>
  </w:style>
  <w:style w:type="character" w:customStyle="1" w:styleId="CitaTaPre">
    <w:name w:val="Cita Ta Pre"/>
    <w:basedOn w:val="CitaTo"/>
    <w:uiPriority w:val="1"/>
    <w:rsid w:val="00256FBA"/>
    <w:rPr>
      <w:i/>
      <w:color w:val="ED7D31" w:themeColor="accent2"/>
      <w:u w:val="single"/>
    </w:rPr>
  </w:style>
  <w:style w:type="character" w:customStyle="1" w:styleId="CitaTaPost">
    <w:name w:val="Cita Ta Post"/>
    <w:basedOn w:val="CitaTaPre"/>
    <w:uiPriority w:val="1"/>
    <w:rsid w:val="00256FBA"/>
    <w:rPr>
      <w:i/>
      <w:color w:val="ED7D31" w:themeColor="accent2"/>
      <w:u w:val="single"/>
    </w:rPr>
  </w:style>
  <w:style w:type="character" w:customStyle="1" w:styleId="CitaTa">
    <w:name w:val="Cita Ta"/>
    <w:basedOn w:val="CitaTaPre"/>
    <w:uiPriority w:val="1"/>
    <w:rsid w:val="00256FBA"/>
    <w:rPr>
      <w:i/>
      <w:color w:val="8EAADB" w:themeColor="accent5" w:themeTint="99"/>
      <w:u w:val="none"/>
    </w:rPr>
  </w:style>
  <w:style w:type="character" w:customStyle="1" w:styleId="CitaTaCod">
    <w:name w:val="Cita Ta Cod"/>
    <w:basedOn w:val="CitaTa"/>
    <w:uiPriority w:val="1"/>
    <w:rsid w:val="00256FBA"/>
    <w:rPr>
      <w:i/>
      <w:vanish w:val="0"/>
      <w:color w:val="7F7F7F" w:themeColor="text1" w:themeTint="80"/>
      <w:sz w:val="16"/>
      <w:u w:val="none"/>
    </w:rPr>
  </w:style>
  <w:style w:type="character" w:customStyle="1" w:styleId="CitaTo">
    <w:name w:val="Cita To"/>
    <w:basedOn w:val="Fuentedeprrafopredeter"/>
    <w:uiPriority w:val="1"/>
    <w:rsid w:val="00256FBA"/>
    <w:rPr>
      <w:i/>
      <w:color w:val="70AD47" w:themeColor="accent6"/>
      <w:u w:val="single"/>
    </w:rPr>
  </w:style>
  <w:style w:type="paragraph" w:customStyle="1" w:styleId="TipoUnidad">
    <w:name w:val="TipoUnidad"/>
    <w:basedOn w:val="Normal"/>
    <w:rsid w:val="00256FBA"/>
    <w:pPr>
      <w:spacing w:before="120" w:after="0" w:line="240" w:lineRule="auto"/>
      <w:jc w:val="right"/>
    </w:pPr>
    <w:rPr>
      <w:rFonts w:ascii="Helvetica Narrow" w:hAnsi="Helvetica Narrow"/>
      <w:b/>
      <w:i/>
      <w:noProof/>
      <w:color w:val="FF0000"/>
    </w:rPr>
  </w:style>
  <w:style w:type="paragraph" w:customStyle="1" w:styleId="TituloRecuadro">
    <w:name w:val="Titulo Recuadro"/>
    <w:basedOn w:val="Normal"/>
    <w:rsid w:val="00256FBA"/>
    <w:pPr>
      <w:spacing w:before="120" w:after="0" w:line="240" w:lineRule="auto"/>
      <w:jc w:val="center"/>
    </w:pPr>
    <w:rPr>
      <w:rFonts w:ascii="Arial" w:hAnsi="Arial" w:cs="Arial"/>
      <w:b/>
      <w:sz w:val="28"/>
      <w:szCs w:val="28"/>
    </w:rPr>
  </w:style>
  <w:style w:type="paragraph" w:customStyle="1" w:styleId="TituloNovedad">
    <w:name w:val="TituloNovedad"/>
    <w:aliases w:val="Título Novedad"/>
    <w:basedOn w:val="Normal"/>
    <w:link w:val="TituloNovedadChar"/>
    <w:rsid w:val="00256FBA"/>
    <w:pPr>
      <w:spacing w:before="120" w:after="0" w:line="240" w:lineRule="auto"/>
      <w:ind w:left="709" w:firstLine="0"/>
    </w:pPr>
    <w:rPr>
      <w:rFonts w:ascii="Calibri" w:hAnsi="Calibri"/>
      <w:b/>
      <w:noProof/>
    </w:rPr>
  </w:style>
  <w:style w:type="character" w:customStyle="1" w:styleId="TituloNovedadChar">
    <w:name w:val="TituloNovedad Char"/>
    <w:aliases w:val="Título Novedad Char"/>
    <w:link w:val="TituloNovedad"/>
    <w:rsid w:val="00256FBA"/>
    <w:rPr>
      <w:rFonts w:ascii="Calibri" w:hAnsi="Calibri"/>
      <w:b/>
      <w:noProof/>
      <w:sz w:val="24"/>
    </w:rPr>
  </w:style>
  <w:style w:type="paragraph" w:customStyle="1" w:styleId="TituloRubrica">
    <w:name w:val="Titulo_Rubrica"/>
    <w:aliases w:val="Título Rúbrica"/>
    <w:basedOn w:val="Normal"/>
    <w:next w:val="Normal"/>
    <w:link w:val="TituloRubricaChar"/>
    <w:rsid w:val="00256FBA"/>
    <w:pPr>
      <w:spacing w:before="120" w:after="0" w:line="240" w:lineRule="auto"/>
      <w:ind w:firstLine="0"/>
    </w:pPr>
    <w:rPr>
      <w:rFonts w:ascii="Calibri" w:hAnsi="Calibri"/>
      <w:b/>
      <w:noProof/>
    </w:rPr>
  </w:style>
  <w:style w:type="character" w:customStyle="1" w:styleId="TituloRubricaChar">
    <w:name w:val="TituloRubrica Char"/>
    <w:aliases w:val="Título Rúbrica Char"/>
    <w:link w:val="TituloRubrica"/>
    <w:rsid w:val="00256FBA"/>
    <w:rPr>
      <w:rFonts w:ascii="Calibri" w:hAnsi="Calibri"/>
      <w:b/>
      <w:noProof/>
      <w:sz w:val="24"/>
    </w:rPr>
  </w:style>
  <w:style w:type="paragraph" w:styleId="HTMLconformatoprevio">
    <w:name w:val="HTML Preformatted"/>
    <w:basedOn w:val="Normal"/>
    <w:link w:val="HTMLconformatoprevioCar"/>
    <w:uiPriority w:val="99"/>
    <w:semiHidden/>
    <w:unhideWhenUsed/>
    <w:rsid w:val="0064461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4461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1751">
      <w:bodyDiv w:val="1"/>
      <w:marLeft w:val="0"/>
      <w:marRight w:val="0"/>
      <w:marTop w:val="0"/>
      <w:marBottom w:val="0"/>
      <w:divBdr>
        <w:top w:val="none" w:sz="0" w:space="0" w:color="auto"/>
        <w:left w:val="none" w:sz="0" w:space="0" w:color="auto"/>
        <w:bottom w:val="none" w:sz="0" w:space="0" w:color="auto"/>
        <w:right w:val="none" w:sz="0" w:space="0" w:color="auto"/>
      </w:divBdr>
      <w:divsChild>
        <w:div w:id="536235587">
          <w:marLeft w:val="0"/>
          <w:marRight w:val="0"/>
          <w:marTop w:val="0"/>
          <w:marBottom w:val="0"/>
          <w:divBdr>
            <w:top w:val="none" w:sz="0" w:space="0" w:color="auto"/>
            <w:left w:val="none" w:sz="0" w:space="0" w:color="auto"/>
            <w:bottom w:val="none" w:sz="0" w:space="0" w:color="auto"/>
            <w:right w:val="none" w:sz="0" w:space="0" w:color="auto"/>
          </w:divBdr>
          <w:divsChild>
            <w:div w:id="1568761237">
              <w:marLeft w:val="0"/>
              <w:marRight w:val="0"/>
              <w:marTop w:val="0"/>
              <w:marBottom w:val="0"/>
              <w:divBdr>
                <w:top w:val="none" w:sz="0" w:space="0" w:color="auto"/>
                <w:left w:val="none" w:sz="0" w:space="0" w:color="auto"/>
                <w:bottom w:val="none" w:sz="0" w:space="0" w:color="auto"/>
                <w:right w:val="none" w:sz="0" w:space="0" w:color="auto"/>
              </w:divBdr>
              <w:divsChild>
                <w:div w:id="157307031">
                  <w:marLeft w:val="0"/>
                  <w:marRight w:val="0"/>
                  <w:marTop w:val="0"/>
                  <w:marBottom w:val="0"/>
                  <w:divBdr>
                    <w:top w:val="none" w:sz="0" w:space="0" w:color="auto"/>
                    <w:left w:val="none" w:sz="0" w:space="0" w:color="auto"/>
                    <w:bottom w:val="none" w:sz="0" w:space="0" w:color="auto"/>
                    <w:right w:val="none" w:sz="0" w:space="0" w:color="auto"/>
                  </w:divBdr>
                  <w:divsChild>
                    <w:div w:id="19758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53131">
      <w:bodyDiv w:val="1"/>
      <w:marLeft w:val="0"/>
      <w:marRight w:val="0"/>
      <w:marTop w:val="0"/>
      <w:marBottom w:val="0"/>
      <w:divBdr>
        <w:top w:val="none" w:sz="0" w:space="0" w:color="auto"/>
        <w:left w:val="none" w:sz="0" w:space="0" w:color="auto"/>
        <w:bottom w:val="none" w:sz="0" w:space="0" w:color="auto"/>
        <w:right w:val="none" w:sz="0" w:space="0" w:color="auto"/>
      </w:divBdr>
    </w:div>
    <w:div w:id="73935044">
      <w:bodyDiv w:val="1"/>
      <w:marLeft w:val="0"/>
      <w:marRight w:val="0"/>
      <w:marTop w:val="0"/>
      <w:marBottom w:val="0"/>
      <w:divBdr>
        <w:top w:val="none" w:sz="0" w:space="0" w:color="auto"/>
        <w:left w:val="none" w:sz="0" w:space="0" w:color="auto"/>
        <w:bottom w:val="none" w:sz="0" w:space="0" w:color="auto"/>
        <w:right w:val="none" w:sz="0" w:space="0" w:color="auto"/>
      </w:divBdr>
    </w:div>
    <w:div w:id="163790052">
      <w:bodyDiv w:val="1"/>
      <w:marLeft w:val="0"/>
      <w:marRight w:val="0"/>
      <w:marTop w:val="0"/>
      <w:marBottom w:val="0"/>
      <w:divBdr>
        <w:top w:val="none" w:sz="0" w:space="0" w:color="auto"/>
        <w:left w:val="none" w:sz="0" w:space="0" w:color="auto"/>
        <w:bottom w:val="none" w:sz="0" w:space="0" w:color="auto"/>
        <w:right w:val="none" w:sz="0" w:space="0" w:color="auto"/>
      </w:divBdr>
    </w:div>
    <w:div w:id="174073135">
      <w:bodyDiv w:val="1"/>
      <w:marLeft w:val="0"/>
      <w:marRight w:val="0"/>
      <w:marTop w:val="0"/>
      <w:marBottom w:val="0"/>
      <w:divBdr>
        <w:top w:val="none" w:sz="0" w:space="0" w:color="auto"/>
        <w:left w:val="none" w:sz="0" w:space="0" w:color="auto"/>
        <w:bottom w:val="none" w:sz="0" w:space="0" w:color="auto"/>
        <w:right w:val="none" w:sz="0" w:space="0" w:color="auto"/>
      </w:divBdr>
    </w:div>
    <w:div w:id="177471738">
      <w:bodyDiv w:val="1"/>
      <w:marLeft w:val="0"/>
      <w:marRight w:val="0"/>
      <w:marTop w:val="0"/>
      <w:marBottom w:val="0"/>
      <w:divBdr>
        <w:top w:val="none" w:sz="0" w:space="0" w:color="auto"/>
        <w:left w:val="none" w:sz="0" w:space="0" w:color="auto"/>
        <w:bottom w:val="none" w:sz="0" w:space="0" w:color="auto"/>
        <w:right w:val="none" w:sz="0" w:space="0" w:color="auto"/>
      </w:divBdr>
    </w:div>
    <w:div w:id="179659249">
      <w:bodyDiv w:val="1"/>
      <w:marLeft w:val="0"/>
      <w:marRight w:val="0"/>
      <w:marTop w:val="0"/>
      <w:marBottom w:val="0"/>
      <w:divBdr>
        <w:top w:val="none" w:sz="0" w:space="0" w:color="auto"/>
        <w:left w:val="none" w:sz="0" w:space="0" w:color="auto"/>
        <w:bottom w:val="none" w:sz="0" w:space="0" w:color="auto"/>
        <w:right w:val="none" w:sz="0" w:space="0" w:color="auto"/>
      </w:divBdr>
    </w:div>
    <w:div w:id="261494857">
      <w:bodyDiv w:val="1"/>
      <w:marLeft w:val="0"/>
      <w:marRight w:val="0"/>
      <w:marTop w:val="0"/>
      <w:marBottom w:val="0"/>
      <w:divBdr>
        <w:top w:val="none" w:sz="0" w:space="0" w:color="auto"/>
        <w:left w:val="none" w:sz="0" w:space="0" w:color="auto"/>
        <w:bottom w:val="none" w:sz="0" w:space="0" w:color="auto"/>
        <w:right w:val="none" w:sz="0" w:space="0" w:color="auto"/>
      </w:divBdr>
    </w:div>
    <w:div w:id="271743306">
      <w:bodyDiv w:val="1"/>
      <w:marLeft w:val="0"/>
      <w:marRight w:val="0"/>
      <w:marTop w:val="0"/>
      <w:marBottom w:val="0"/>
      <w:divBdr>
        <w:top w:val="none" w:sz="0" w:space="0" w:color="auto"/>
        <w:left w:val="none" w:sz="0" w:space="0" w:color="auto"/>
        <w:bottom w:val="none" w:sz="0" w:space="0" w:color="auto"/>
        <w:right w:val="none" w:sz="0" w:space="0" w:color="auto"/>
      </w:divBdr>
      <w:divsChild>
        <w:div w:id="151527527">
          <w:marLeft w:val="0"/>
          <w:marRight w:val="0"/>
          <w:marTop w:val="0"/>
          <w:marBottom w:val="0"/>
          <w:divBdr>
            <w:top w:val="none" w:sz="0" w:space="0" w:color="auto"/>
            <w:left w:val="none" w:sz="0" w:space="0" w:color="auto"/>
            <w:bottom w:val="none" w:sz="0" w:space="0" w:color="auto"/>
            <w:right w:val="none" w:sz="0" w:space="0" w:color="auto"/>
          </w:divBdr>
          <w:divsChild>
            <w:div w:id="1142623396">
              <w:marLeft w:val="0"/>
              <w:marRight w:val="0"/>
              <w:marTop w:val="0"/>
              <w:marBottom w:val="0"/>
              <w:divBdr>
                <w:top w:val="none" w:sz="0" w:space="0" w:color="auto"/>
                <w:left w:val="none" w:sz="0" w:space="0" w:color="auto"/>
                <w:bottom w:val="none" w:sz="0" w:space="0" w:color="auto"/>
                <w:right w:val="none" w:sz="0" w:space="0" w:color="auto"/>
              </w:divBdr>
              <w:divsChild>
                <w:div w:id="14008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35277">
      <w:bodyDiv w:val="1"/>
      <w:marLeft w:val="0"/>
      <w:marRight w:val="0"/>
      <w:marTop w:val="0"/>
      <w:marBottom w:val="0"/>
      <w:divBdr>
        <w:top w:val="none" w:sz="0" w:space="0" w:color="auto"/>
        <w:left w:val="none" w:sz="0" w:space="0" w:color="auto"/>
        <w:bottom w:val="none" w:sz="0" w:space="0" w:color="auto"/>
        <w:right w:val="none" w:sz="0" w:space="0" w:color="auto"/>
      </w:divBdr>
    </w:div>
    <w:div w:id="298994199">
      <w:bodyDiv w:val="1"/>
      <w:marLeft w:val="0"/>
      <w:marRight w:val="0"/>
      <w:marTop w:val="0"/>
      <w:marBottom w:val="0"/>
      <w:divBdr>
        <w:top w:val="none" w:sz="0" w:space="0" w:color="auto"/>
        <w:left w:val="none" w:sz="0" w:space="0" w:color="auto"/>
        <w:bottom w:val="none" w:sz="0" w:space="0" w:color="auto"/>
        <w:right w:val="none" w:sz="0" w:space="0" w:color="auto"/>
      </w:divBdr>
    </w:div>
    <w:div w:id="322046499">
      <w:bodyDiv w:val="1"/>
      <w:marLeft w:val="0"/>
      <w:marRight w:val="0"/>
      <w:marTop w:val="0"/>
      <w:marBottom w:val="0"/>
      <w:divBdr>
        <w:top w:val="none" w:sz="0" w:space="0" w:color="auto"/>
        <w:left w:val="none" w:sz="0" w:space="0" w:color="auto"/>
        <w:bottom w:val="none" w:sz="0" w:space="0" w:color="auto"/>
        <w:right w:val="none" w:sz="0" w:space="0" w:color="auto"/>
      </w:divBdr>
    </w:div>
    <w:div w:id="365108985">
      <w:bodyDiv w:val="1"/>
      <w:marLeft w:val="0"/>
      <w:marRight w:val="0"/>
      <w:marTop w:val="0"/>
      <w:marBottom w:val="0"/>
      <w:divBdr>
        <w:top w:val="none" w:sz="0" w:space="0" w:color="auto"/>
        <w:left w:val="none" w:sz="0" w:space="0" w:color="auto"/>
        <w:bottom w:val="none" w:sz="0" w:space="0" w:color="auto"/>
        <w:right w:val="none" w:sz="0" w:space="0" w:color="auto"/>
      </w:divBdr>
      <w:divsChild>
        <w:div w:id="1498574936">
          <w:marLeft w:val="0"/>
          <w:marRight w:val="0"/>
          <w:marTop w:val="0"/>
          <w:marBottom w:val="0"/>
          <w:divBdr>
            <w:top w:val="none" w:sz="0" w:space="0" w:color="auto"/>
            <w:left w:val="none" w:sz="0" w:space="0" w:color="auto"/>
            <w:bottom w:val="none" w:sz="0" w:space="0" w:color="auto"/>
            <w:right w:val="none" w:sz="0" w:space="0" w:color="auto"/>
          </w:divBdr>
        </w:div>
      </w:divsChild>
    </w:div>
    <w:div w:id="367220451">
      <w:bodyDiv w:val="1"/>
      <w:marLeft w:val="0"/>
      <w:marRight w:val="0"/>
      <w:marTop w:val="0"/>
      <w:marBottom w:val="0"/>
      <w:divBdr>
        <w:top w:val="none" w:sz="0" w:space="0" w:color="auto"/>
        <w:left w:val="none" w:sz="0" w:space="0" w:color="auto"/>
        <w:bottom w:val="none" w:sz="0" w:space="0" w:color="auto"/>
        <w:right w:val="none" w:sz="0" w:space="0" w:color="auto"/>
      </w:divBdr>
      <w:divsChild>
        <w:div w:id="455100195">
          <w:marLeft w:val="0"/>
          <w:marRight w:val="0"/>
          <w:marTop w:val="0"/>
          <w:marBottom w:val="0"/>
          <w:divBdr>
            <w:top w:val="none" w:sz="0" w:space="0" w:color="auto"/>
            <w:left w:val="none" w:sz="0" w:space="0" w:color="auto"/>
            <w:bottom w:val="none" w:sz="0" w:space="0" w:color="auto"/>
            <w:right w:val="none" w:sz="0" w:space="0" w:color="auto"/>
          </w:divBdr>
          <w:divsChild>
            <w:div w:id="460879127">
              <w:marLeft w:val="0"/>
              <w:marRight w:val="0"/>
              <w:marTop w:val="0"/>
              <w:marBottom w:val="0"/>
              <w:divBdr>
                <w:top w:val="none" w:sz="0" w:space="0" w:color="auto"/>
                <w:left w:val="none" w:sz="0" w:space="0" w:color="auto"/>
                <w:bottom w:val="none" w:sz="0" w:space="0" w:color="auto"/>
                <w:right w:val="none" w:sz="0" w:space="0" w:color="auto"/>
              </w:divBdr>
              <w:divsChild>
                <w:div w:id="675571463">
                  <w:marLeft w:val="0"/>
                  <w:marRight w:val="0"/>
                  <w:marTop w:val="0"/>
                  <w:marBottom w:val="0"/>
                  <w:divBdr>
                    <w:top w:val="none" w:sz="0" w:space="0" w:color="auto"/>
                    <w:left w:val="none" w:sz="0" w:space="0" w:color="auto"/>
                    <w:bottom w:val="none" w:sz="0" w:space="0" w:color="auto"/>
                    <w:right w:val="none" w:sz="0" w:space="0" w:color="auto"/>
                  </w:divBdr>
                  <w:divsChild>
                    <w:div w:id="17561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84315">
      <w:bodyDiv w:val="1"/>
      <w:marLeft w:val="0"/>
      <w:marRight w:val="0"/>
      <w:marTop w:val="0"/>
      <w:marBottom w:val="0"/>
      <w:divBdr>
        <w:top w:val="none" w:sz="0" w:space="0" w:color="auto"/>
        <w:left w:val="none" w:sz="0" w:space="0" w:color="auto"/>
        <w:bottom w:val="none" w:sz="0" w:space="0" w:color="auto"/>
        <w:right w:val="none" w:sz="0" w:space="0" w:color="auto"/>
      </w:divBdr>
    </w:div>
    <w:div w:id="413477759">
      <w:bodyDiv w:val="1"/>
      <w:marLeft w:val="0"/>
      <w:marRight w:val="0"/>
      <w:marTop w:val="0"/>
      <w:marBottom w:val="0"/>
      <w:divBdr>
        <w:top w:val="none" w:sz="0" w:space="0" w:color="auto"/>
        <w:left w:val="none" w:sz="0" w:space="0" w:color="auto"/>
        <w:bottom w:val="none" w:sz="0" w:space="0" w:color="auto"/>
        <w:right w:val="none" w:sz="0" w:space="0" w:color="auto"/>
      </w:divBdr>
    </w:div>
    <w:div w:id="421071963">
      <w:bodyDiv w:val="1"/>
      <w:marLeft w:val="0"/>
      <w:marRight w:val="0"/>
      <w:marTop w:val="0"/>
      <w:marBottom w:val="0"/>
      <w:divBdr>
        <w:top w:val="none" w:sz="0" w:space="0" w:color="auto"/>
        <w:left w:val="none" w:sz="0" w:space="0" w:color="auto"/>
        <w:bottom w:val="none" w:sz="0" w:space="0" w:color="auto"/>
        <w:right w:val="none" w:sz="0" w:space="0" w:color="auto"/>
      </w:divBdr>
    </w:div>
    <w:div w:id="444008181">
      <w:bodyDiv w:val="1"/>
      <w:marLeft w:val="0"/>
      <w:marRight w:val="0"/>
      <w:marTop w:val="0"/>
      <w:marBottom w:val="0"/>
      <w:divBdr>
        <w:top w:val="none" w:sz="0" w:space="0" w:color="auto"/>
        <w:left w:val="none" w:sz="0" w:space="0" w:color="auto"/>
        <w:bottom w:val="none" w:sz="0" w:space="0" w:color="auto"/>
        <w:right w:val="none" w:sz="0" w:space="0" w:color="auto"/>
      </w:divBdr>
    </w:div>
    <w:div w:id="457653089">
      <w:bodyDiv w:val="1"/>
      <w:marLeft w:val="0"/>
      <w:marRight w:val="0"/>
      <w:marTop w:val="0"/>
      <w:marBottom w:val="0"/>
      <w:divBdr>
        <w:top w:val="none" w:sz="0" w:space="0" w:color="auto"/>
        <w:left w:val="none" w:sz="0" w:space="0" w:color="auto"/>
        <w:bottom w:val="none" w:sz="0" w:space="0" w:color="auto"/>
        <w:right w:val="none" w:sz="0" w:space="0" w:color="auto"/>
      </w:divBdr>
    </w:div>
    <w:div w:id="480073422">
      <w:bodyDiv w:val="1"/>
      <w:marLeft w:val="0"/>
      <w:marRight w:val="0"/>
      <w:marTop w:val="0"/>
      <w:marBottom w:val="0"/>
      <w:divBdr>
        <w:top w:val="none" w:sz="0" w:space="0" w:color="auto"/>
        <w:left w:val="none" w:sz="0" w:space="0" w:color="auto"/>
        <w:bottom w:val="none" w:sz="0" w:space="0" w:color="auto"/>
        <w:right w:val="none" w:sz="0" w:space="0" w:color="auto"/>
      </w:divBdr>
      <w:divsChild>
        <w:div w:id="1094590116">
          <w:marLeft w:val="0"/>
          <w:marRight w:val="0"/>
          <w:marTop w:val="0"/>
          <w:marBottom w:val="0"/>
          <w:divBdr>
            <w:top w:val="none" w:sz="0" w:space="0" w:color="auto"/>
            <w:left w:val="none" w:sz="0" w:space="0" w:color="auto"/>
            <w:bottom w:val="none" w:sz="0" w:space="0" w:color="auto"/>
            <w:right w:val="none" w:sz="0" w:space="0" w:color="auto"/>
          </w:divBdr>
          <w:divsChild>
            <w:div w:id="1427923556">
              <w:marLeft w:val="0"/>
              <w:marRight w:val="0"/>
              <w:marTop w:val="0"/>
              <w:marBottom w:val="0"/>
              <w:divBdr>
                <w:top w:val="none" w:sz="0" w:space="0" w:color="auto"/>
                <w:left w:val="none" w:sz="0" w:space="0" w:color="auto"/>
                <w:bottom w:val="none" w:sz="0" w:space="0" w:color="auto"/>
                <w:right w:val="none" w:sz="0" w:space="0" w:color="auto"/>
              </w:divBdr>
              <w:divsChild>
                <w:div w:id="1142885789">
                  <w:marLeft w:val="0"/>
                  <w:marRight w:val="0"/>
                  <w:marTop w:val="0"/>
                  <w:marBottom w:val="0"/>
                  <w:divBdr>
                    <w:top w:val="none" w:sz="0" w:space="0" w:color="auto"/>
                    <w:left w:val="none" w:sz="0" w:space="0" w:color="auto"/>
                    <w:bottom w:val="none" w:sz="0" w:space="0" w:color="auto"/>
                    <w:right w:val="none" w:sz="0" w:space="0" w:color="auto"/>
                  </w:divBdr>
                  <w:divsChild>
                    <w:div w:id="14462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95713">
      <w:bodyDiv w:val="1"/>
      <w:marLeft w:val="0"/>
      <w:marRight w:val="0"/>
      <w:marTop w:val="0"/>
      <w:marBottom w:val="0"/>
      <w:divBdr>
        <w:top w:val="none" w:sz="0" w:space="0" w:color="auto"/>
        <w:left w:val="none" w:sz="0" w:space="0" w:color="auto"/>
        <w:bottom w:val="none" w:sz="0" w:space="0" w:color="auto"/>
        <w:right w:val="none" w:sz="0" w:space="0" w:color="auto"/>
      </w:divBdr>
    </w:div>
    <w:div w:id="535049489">
      <w:bodyDiv w:val="1"/>
      <w:marLeft w:val="0"/>
      <w:marRight w:val="0"/>
      <w:marTop w:val="0"/>
      <w:marBottom w:val="0"/>
      <w:divBdr>
        <w:top w:val="none" w:sz="0" w:space="0" w:color="auto"/>
        <w:left w:val="none" w:sz="0" w:space="0" w:color="auto"/>
        <w:bottom w:val="none" w:sz="0" w:space="0" w:color="auto"/>
        <w:right w:val="none" w:sz="0" w:space="0" w:color="auto"/>
      </w:divBdr>
    </w:div>
    <w:div w:id="547957773">
      <w:bodyDiv w:val="1"/>
      <w:marLeft w:val="0"/>
      <w:marRight w:val="0"/>
      <w:marTop w:val="0"/>
      <w:marBottom w:val="0"/>
      <w:divBdr>
        <w:top w:val="none" w:sz="0" w:space="0" w:color="auto"/>
        <w:left w:val="none" w:sz="0" w:space="0" w:color="auto"/>
        <w:bottom w:val="none" w:sz="0" w:space="0" w:color="auto"/>
        <w:right w:val="none" w:sz="0" w:space="0" w:color="auto"/>
      </w:divBdr>
    </w:div>
    <w:div w:id="570232557">
      <w:bodyDiv w:val="1"/>
      <w:marLeft w:val="0"/>
      <w:marRight w:val="0"/>
      <w:marTop w:val="0"/>
      <w:marBottom w:val="0"/>
      <w:divBdr>
        <w:top w:val="none" w:sz="0" w:space="0" w:color="auto"/>
        <w:left w:val="none" w:sz="0" w:space="0" w:color="auto"/>
        <w:bottom w:val="none" w:sz="0" w:space="0" w:color="auto"/>
        <w:right w:val="none" w:sz="0" w:space="0" w:color="auto"/>
      </w:divBdr>
    </w:div>
    <w:div w:id="579173706">
      <w:bodyDiv w:val="1"/>
      <w:marLeft w:val="0"/>
      <w:marRight w:val="0"/>
      <w:marTop w:val="0"/>
      <w:marBottom w:val="0"/>
      <w:divBdr>
        <w:top w:val="none" w:sz="0" w:space="0" w:color="auto"/>
        <w:left w:val="none" w:sz="0" w:space="0" w:color="auto"/>
        <w:bottom w:val="none" w:sz="0" w:space="0" w:color="auto"/>
        <w:right w:val="none" w:sz="0" w:space="0" w:color="auto"/>
      </w:divBdr>
    </w:div>
    <w:div w:id="598610260">
      <w:bodyDiv w:val="1"/>
      <w:marLeft w:val="0"/>
      <w:marRight w:val="0"/>
      <w:marTop w:val="0"/>
      <w:marBottom w:val="0"/>
      <w:divBdr>
        <w:top w:val="none" w:sz="0" w:space="0" w:color="auto"/>
        <w:left w:val="none" w:sz="0" w:space="0" w:color="auto"/>
        <w:bottom w:val="none" w:sz="0" w:space="0" w:color="auto"/>
        <w:right w:val="none" w:sz="0" w:space="0" w:color="auto"/>
      </w:divBdr>
    </w:div>
    <w:div w:id="610162401">
      <w:bodyDiv w:val="1"/>
      <w:marLeft w:val="0"/>
      <w:marRight w:val="0"/>
      <w:marTop w:val="0"/>
      <w:marBottom w:val="0"/>
      <w:divBdr>
        <w:top w:val="none" w:sz="0" w:space="0" w:color="auto"/>
        <w:left w:val="none" w:sz="0" w:space="0" w:color="auto"/>
        <w:bottom w:val="none" w:sz="0" w:space="0" w:color="auto"/>
        <w:right w:val="none" w:sz="0" w:space="0" w:color="auto"/>
      </w:divBdr>
      <w:divsChild>
        <w:div w:id="783305047">
          <w:marLeft w:val="0"/>
          <w:marRight w:val="0"/>
          <w:marTop w:val="0"/>
          <w:marBottom w:val="0"/>
          <w:divBdr>
            <w:top w:val="none" w:sz="0" w:space="0" w:color="auto"/>
            <w:left w:val="none" w:sz="0" w:space="0" w:color="auto"/>
            <w:bottom w:val="none" w:sz="0" w:space="0" w:color="auto"/>
            <w:right w:val="none" w:sz="0" w:space="0" w:color="auto"/>
          </w:divBdr>
          <w:divsChild>
            <w:div w:id="1915159316">
              <w:marLeft w:val="0"/>
              <w:marRight w:val="0"/>
              <w:marTop w:val="0"/>
              <w:marBottom w:val="0"/>
              <w:divBdr>
                <w:top w:val="none" w:sz="0" w:space="0" w:color="auto"/>
                <w:left w:val="none" w:sz="0" w:space="0" w:color="auto"/>
                <w:bottom w:val="none" w:sz="0" w:space="0" w:color="auto"/>
                <w:right w:val="none" w:sz="0" w:space="0" w:color="auto"/>
              </w:divBdr>
              <w:divsChild>
                <w:div w:id="1608466976">
                  <w:marLeft w:val="0"/>
                  <w:marRight w:val="0"/>
                  <w:marTop w:val="0"/>
                  <w:marBottom w:val="0"/>
                  <w:divBdr>
                    <w:top w:val="none" w:sz="0" w:space="0" w:color="auto"/>
                    <w:left w:val="none" w:sz="0" w:space="0" w:color="auto"/>
                    <w:bottom w:val="none" w:sz="0" w:space="0" w:color="auto"/>
                    <w:right w:val="none" w:sz="0" w:space="0" w:color="auto"/>
                  </w:divBdr>
                  <w:divsChild>
                    <w:div w:id="7335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673964">
      <w:bodyDiv w:val="1"/>
      <w:marLeft w:val="0"/>
      <w:marRight w:val="0"/>
      <w:marTop w:val="0"/>
      <w:marBottom w:val="0"/>
      <w:divBdr>
        <w:top w:val="none" w:sz="0" w:space="0" w:color="auto"/>
        <w:left w:val="none" w:sz="0" w:space="0" w:color="auto"/>
        <w:bottom w:val="none" w:sz="0" w:space="0" w:color="auto"/>
        <w:right w:val="none" w:sz="0" w:space="0" w:color="auto"/>
      </w:divBdr>
    </w:div>
    <w:div w:id="641427130">
      <w:bodyDiv w:val="1"/>
      <w:marLeft w:val="0"/>
      <w:marRight w:val="0"/>
      <w:marTop w:val="0"/>
      <w:marBottom w:val="0"/>
      <w:divBdr>
        <w:top w:val="none" w:sz="0" w:space="0" w:color="auto"/>
        <w:left w:val="none" w:sz="0" w:space="0" w:color="auto"/>
        <w:bottom w:val="none" w:sz="0" w:space="0" w:color="auto"/>
        <w:right w:val="none" w:sz="0" w:space="0" w:color="auto"/>
      </w:divBdr>
      <w:divsChild>
        <w:div w:id="1725785857">
          <w:marLeft w:val="0"/>
          <w:marRight w:val="0"/>
          <w:marTop w:val="0"/>
          <w:marBottom w:val="0"/>
          <w:divBdr>
            <w:top w:val="none" w:sz="0" w:space="0" w:color="auto"/>
            <w:left w:val="none" w:sz="0" w:space="0" w:color="auto"/>
            <w:bottom w:val="none" w:sz="0" w:space="0" w:color="auto"/>
            <w:right w:val="none" w:sz="0" w:space="0" w:color="auto"/>
          </w:divBdr>
          <w:divsChild>
            <w:div w:id="321738207">
              <w:marLeft w:val="0"/>
              <w:marRight w:val="0"/>
              <w:marTop w:val="0"/>
              <w:marBottom w:val="0"/>
              <w:divBdr>
                <w:top w:val="none" w:sz="0" w:space="0" w:color="auto"/>
                <w:left w:val="none" w:sz="0" w:space="0" w:color="auto"/>
                <w:bottom w:val="none" w:sz="0" w:space="0" w:color="auto"/>
                <w:right w:val="none" w:sz="0" w:space="0" w:color="auto"/>
              </w:divBdr>
              <w:divsChild>
                <w:div w:id="111282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3222">
      <w:bodyDiv w:val="1"/>
      <w:marLeft w:val="0"/>
      <w:marRight w:val="0"/>
      <w:marTop w:val="0"/>
      <w:marBottom w:val="0"/>
      <w:divBdr>
        <w:top w:val="none" w:sz="0" w:space="0" w:color="auto"/>
        <w:left w:val="none" w:sz="0" w:space="0" w:color="auto"/>
        <w:bottom w:val="none" w:sz="0" w:space="0" w:color="auto"/>
        <w:right w:val="none" w:sz="0" w:space="0" w:color="auto"/>
      </w:divBdr>
    </w:div>
    <w:div w:id="663778969">
      <w:bodyDiv w:val="1"/>
      <w:marLeft w:val="0"/>
      <w:marRight w:val="0"/>
      <w:marTop w:val="0"/>
      <w:marBottom w:val="0"/>
      <w:divBdr>
        <w:top w:val="none" w:sz="0" w:space="0" w:color="auto"/>
        <w:left w:val="none" w:sz="0" w:space="0" w:color="auto"/>
        <w:bottom w:val="none" w:sz="0" w:space="0" w:color="auto"/>
        <w:right w:val="none" w:sz="0" w:space="0" w:color="auto"/>
      </w:divBdr>
      <w:divsChild>
        <w:div w:id="122115509">
          <w:marLeft w:val="0"/>
          <w:marRight w:val="0"/>
          <w:marTop w:val="0"/>
          <w:marBottom w:val="0"/>
          <w:divBdr>
            <w:top w:val="none" w:sz="0" w:space="0" w:color="auto"/>
            <w:left w:val="none" w:sz="0" w:space="0" w:color="auto"/>
            <w:bottom w:val="none" w:sz="0" w:space="0" w:color="auto"/>
            <w:right w:val="none" w:sz="0" w:space="0" w:color="auto"/>
          </w:divBdr>
        </w:div>
      </w:divsChild>
    </w:div>
    <w:div w:id="670565457">
      <w:bodyDiv w:val="1"/>
      <w:marLeft w:val="0"/>
      <w:marRight w:val="0"/>
      <w:marTop w:val="0"/>
      <w:marBottom w:val="0"/>
      <w:divBdr>
        <w:top w:val="none" w:sz="0" w:space="0" w:color="auto"/>
        <w:left w:val="none" w:sz="0" w:space="0" w:color="auto"/>
        <w:bottom w:val="none" w:sz="0" w:space="0" w:color="auto"/>
        <w:right w:val="none" w:sz="0" w:space="0" w:color="auto"/>
      </w:divBdr>
      <w:divsChild>
        <w:div w:id="1175266344">
          <w:marLeft w:val="0"/>
          <w:marRight w:val="0"/>
          <w:marTop w:val="0"/>
          <w:marBottom w:val="0"/>
          <w:divBdr>
            <w:top w:val="none" w:sz="0" w:space="0" w:color="auto"/>
            <w:left w:val="none" w:sz="0" w:space="0" w:color="auto"/>
            <w:bottom w:val="none" w:sz="0" w:space="0" w:color="auto"/>
            <w:right w:val="none" w:sz="0" w:space="0" w:color="auto"/>
          </w:divBdr>
          <w:divsChild>
            <w:div w:id="1418284169">
              <w:marLeft w:val="0"/>
              <w:marRight w:val="0"/>
              <w:marTop w:val="0"/>
              <w:marBottom w:val="0"/>
              <w:divBdr>
                <w:top w:val="none" w:sz="0" w:space="0" w:color="auto"/>
                <w:left w:val="none" w:sz="0" w:space="0" w:color="auto"/>
                <w:bottom w:val="none" w:sz="0" w:space="0" w:color="auto"/>
                <w:right w:val="none" w:sz="0" w:space="0" w:color="auto"/>
              </w:divBdr>
              <w:divsChild>
                <w:div w:id="102305031">
                  <w:marLeft w:val="0"/>
                  <w:marRight w:val="0"/>
                  <w:marTop w:val="0"/>
                  <w:marBottom w:val="0"/>
                  <w:divBdr>
                    <w:top w:val="none" w:sz="0" w:space="0" w:color="auto"/>
                    <w:left w:val="none" w:sz="0" w:space="0" w:color="auto"/>
                    <w:bottom w:val="none" w:sz="0" w:space="0" w:color="auto"/>
                    <w:right w:val="none" w:sz="0" w:space="0" w:color="auto"/>
                  </w:divBdr>
                  <w:divsChild>
                    <w:div w:id="14150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6833">
      <w:bodyDiv w:val="1"/>
      <w:marLeft w:val="0"/>
      <w:marRight w:val="0"/>
      <w:marTop w:val="0"/>
      <w:marBottom w:val="0"/>
      <w:divBdr>
        <w:top w:val="none" w:sz="0" w:space="0" w:color="auto"/>
        <w:left w:val="none" w:sz="0" w:space="0" w:color="auto"/>
        <w:bottom w:val="none" w:sz="0" w:space="0" w:color="auto"/>
        <w:right w:val="none" w:sz="0" w:space="0" w:color="auto"/>
      </w:divBdr>
    </w:div>
    <w:div w:id="796753895">
      <w:bodyDiv w:val="1"/>
      <w:marLeft w:val="0"/>
      <w:marRight w:val="0"/>
      <w:marTop w:val="0"/>
      <w:marBottom w:val="0"/>
      <w:divBdr>
        <w:top w:val="none" w:sz="0" w:space="0" w:color="auto"/>
        <w:left w:val="none" w:sz="0" w:space="0" w:color="auto"/>
        <w:bottom w:val="none" w:sz="0" w:space="0" w:color="auto"/>
        <w:right w:val="none" w:sz="0" w:space="0" w:color="auto"/>
      </w:divBdr>
      <w:divsChild>
        <w:div w:id="421606438">
          <w:marLeft w:val="0"/>
          <w:marRight w:val="0"/>
          <w:marTop w:val="0"/>
          <w:marBottom w:val="0"/>
          <w:divBdr>
            <w:top w:val="none" w:sz="0" w:space="0" w:color="auto"/>
            <w:left w:val="none" w:sz="0" w:space="0" w:color="auto"/>
            <w:bottom w:val="none" w:sz="0" w:space="0" w:color="auto"/>
            <w:right w:val="none" w:sz="0" w:space="0" w:color="auto"/>
          </w:divBdr>
          <w:divsChild>
            <w:div w:id="559169564">
              <w:marLeft w:val="0"/>
              <w:marRight w:val="0"/>
              <w:marTop w:val="0"/>
              <w:marBottom w:val="0"/>
              <w:divBdr>
                <w:top w:val="none" w:sz="0" w:space="0" w:color="auto"/>
                <w:left w:val="none" w:sz="0" w:space="0" w:color="auto"/>
                <w:bottom w:val="none" w:sz="0" w:space="0" w:color="auto"/>
                <w:right w:val="none" w:sz="0" w:space="0" w:color="auto"/>
              </w:divBdr>
              <w:divsChild>
                <w:div w:id="14739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7779">
      <w:bodyDiv w:val="1"/>
      <w:marLeft w:val="0"/>
      <w:marRight w:val="0"/>
      <w:marTop w:val="0"/>
      <w:marBottom w:val="0"/>
      <w:divBdr>
        <w:top w:val="none" w:sz="0" w:space="0" w:color="auto"/>
        <w:left w:val="none" w:sz="0" w:space="0" w:color="auto"/>
        <w:bottom w:val="none" w:sz="0" w:space="0" w:color="auto"/>
        <w:right w:val="none" w:sz="0" w:space="0" w:color="auto"/>
      </w:divBdr>
      <w:divsChild>
        <w:div w:id="2002078633">
          <w:marLeft w:val="0"/>
          <w:marRight w:val="0"/>
          <w:marTop w:val="0"/>
          <w:marBottom w:val="0"/>
          <w:divBdr>
            <w:top w:val="none" w:sz="0" w:space="0" w:color="auto"/>
            <w:left w:val="none" w:sz="0" w:space="0" w:color="auto"/>
            <w:bottom w:val="none" w:sz="0" w:space="0" w:color="auto"/>
            <w:right w:val="none" w:sz="0" w:space="0" w:color="auto"/>
          </w:divBdr>
        </w:div>
      </w:divsChild>
    </w:div>
    <w:div w:id="832523805">
      <w:bodyDiv w:val="1"/>
      <w:marLeft w:val="0"/>
      <w:marRight w:val="0"/>
      <w:marTop w:val="0"/>
      <w:marBottom w:val="0"/>
      <w:divBdr>
        <w:top w:val="none" w:sz="0" w:space="0" w:color="auto"/>
        <w:left w:val="none" w:sz="0" w:space="0" w:color="auto"/>
        <w:bottom w:val="none" w:sz="0" w:space="0" w:color="auto"/>
        <w:right w:val="none" w:sz="0" w:space="0" w:color="auto"/>
      </w:divBdr>
      <w:divsChild>
        <w:div w:id="1377120537">
          <w:marLeft w:val="0"/>
          <w:marRight w:val="0"/>
          <w:marTop w:val="0"/>
          <w:marBottom w:val="0"/>
          <w:divBdr>
            <w:top w:val="none" w:sz="0" w:space="0" w:color="auto"/>
            <w:left w:val="none" w:sz="0" w:space="0" w:color="auto"/>
            <w:bottom w:val="none" w:sz="0" w:space="0" w:color="auto"/>
            <w:right w:val="none" w:sz="0" w:space="0" w:color="auto"/>
          </w:divBdr>
          <w:divsChild>
            <w:div w:id="1625840795">
              <w:marLeft w:val="0"/>
              <w:marRight w:val="0"/>
              <w:marTop w:val="0"/>
              <w:marBottom w:val="0"/>
              <w:divBdr>
                <w:top w:val="none" w:sz="0" w:space="0" w:color="auto"/>
                <w:left w:val="none" w:sz="0" w:space="0" w:color="auto"/>
                <w:bottom w:val="none" w:sz="0" w:space="0" w:color="auto"/>
                <w:right w:val="none" w:sz="0" w:space="0" w:color="auto"/>
              </w:divBdr>
              <w:divsChild>
                <w:div w:id="141428876">
                  <w:marLeft w:val="0"/>
                  <w:marRight w:val="0"/>
                  <w:marTop w:val="0"/>
                  <w:marBottom w:val="0"/>
                  <w:divBdr>
                    <w:top w:val="none" w:sz="0" w:space="0" w:color="auto"/>
                    <w:left w:val="none" w:sz="0" w:space="0" w:color="auto"/>
                    <w:bottom w:val="none" w:sz="0" w:space="0" w:color="auto"/>
                    <w:right w:val="none" w:sz="0" w:space="0" w:color="auto"/>
                  </w:divBdr>
                  <w:divsChild>
                    <w:div w:id="3672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94559">
      <w:bodyDiv w:val="1"/>
      <w:marLeft w:val="0"/>
      <w:marRight w:val="0"/>
      <w:marTop w:val="0"/>
      <w:marBottom w:val="0"/>
      <w:divBdr>
        <w:top w:val="none" w:sz="0" w:space="0" w:color="auto"/>
        <w:left w:val="none" w:sz="0" w:space="0" w:color="auto"/>
        <w:bottom w:val="none" w:sz="0" w:space="0" w:color="auto"/>
        <w:right w:val="none" w:sz="0" w:space="0" w:color="auto"/>
      </w:divBdr>
      <w:divsChild>
        <w:div w:id="2002195479">
          <w:marLeft w:val="0"/>
          <w:marRight w:val="0"/>
          <w:marTop w:val="0"/>
          <w:marBottom w:val="0"/>
          <w:divBdr>
            <w:top w:val="none" w:sz="0" w:space="0" w:color="auto"/>
            <w:left w:val="none" w:sz="0" w:space="0" w:color="auto"/>
            <w:bottom w:val="none" w:sz="0" w:space="0" w:color="auto"/>
            <w:right w:val="none" w:sz="0" w:space="0" w:color="auto"/>
          </w:divBdr>
          <w:divsChild>
            <w:div w:id="12093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695">
      <w:bodyDiv w:val="1"/>
      <w:marLeft w:val="0"/>
      <w:marRight w:val="0"/>
      <w:marTop w:val="0"/>
      <w:marBottom w:val="0"/>
      <w:divBdr>
        <w:top w:val="none" w:sz="0" w:space="0" w:color="auto"/>
        <w:left w:val="none" w:sz="0" w:space="0" w:color="auto"/>
        <w:bottom w:val="none" w:sz="0" w:space="0" w:color="auto"/>
        <w:right w:val="none" w:sz="0" w:space="0" w:color="auto"/>
      </w:divBdr>
    </w:div>
    <w:div w:id="884367600">
      <w:bodyDiv w:val="1"/>
      <w:marLeft w:val="0"/>
      <w:marRight w:val="0"/>
      <w:marTop w:val="0"/>
      <w:marBottom w:val="0"/>
      <w:divBdr>
        <w:top w:val="none" w:sz="0" w:space="0" w:color="auto"/>
        <w:left w:val="none" w:sz="0" w:space="0" w:color="auto"/>
        <w:bottom w:val="none" w:sz="0" w:space="0" w:color="auto"/>
        <w:right w:val="none" w:sz="0" w:space="0" w:color="auto"/>
      </w:divBdr>
    </w:div>
    <w:div w:id="897784668">
      <w:bodyDiv w:val="1"/>
      <w:marLeft w:val="0"/>
      <w:marRight w:val="0"/>
      <w:marTop w:val="0"/>
      <w:marBottom w:val="0"/>
      <w:divBdr>
        <w:top w:val="none" w:sz="0" w:space="0" w:color="auto"/>
        <w:left w:val="none" w:sz="0" w:space="0" w:color="auto"/>
        <w:bottom w:val="none" w:sz="0" w:space="0" w:color="auto"/>
        <w:right w:val="none" w:sz="0" w:space="0" w:color="auto"/>
      </w:divBdr>
    </w:div>
    <w:div w:id="912936430">
      <w:bodyDiv w:val="1"/>
      <w:marLeft w:val="0"/>
      <w:marRight w:val="0"/>
      <w:marTop w:val="0"/>
      <w:marBottom w:val="0"/>
      <w:divBdr>
        <w:top w:val="none" w:sz="0" w:space="0" w:color="auto"/>
        <w:left w:val="none" w:sz="0" w:space="0" w:color="auto"/>
        <w:bottom w:val="none" w:sz="0" w:space="0" w:color="auto"/>
        <w:right w:val="none" w:sz="0" w:space="0" w:color="auto"/>
      </w:divBdr>
    </w:div>
    <w:div w:id="924260713">
      <w:bodyDiv w:val="1"/>
      <w:marLeft w:val="0"/>
      <w:marRight w:val="0"/>
      <w:marTop w:val="0"/>
      <w:marBottom w:val="0"/>
      <w:divBdr>
        <w:top w:val="none" w:sz="0" w:space="0" w:color="auto"/>
        <w:left w:val="none" w:sz="0" w:space="0" w:color="auto"/>
        <w:bottom w:val="none" w:sz="0" w:space="0" w:color="auto"/>
        <w:right w:val="none" w:sz="0" w:space="0" w:color="auto"/>
      </w:divBdr>
    </w:div>
    <w:div w:id="932056405">
      <w:bodyDiv w:val="1"/>
      <w:marLeft w:val="0"/>
      <w:marRight w:val="0"/>
      <w:marTop w:val="0"/>
      <w:marBottom w:val="0"/>
      <w:divBdr>
        <w:top w:val="none" w:sz="0" w:space="0" w:color="auto"/>
        <w:left w:val="none" w:sz="0" w:space="0" w:color="auto"/>
        <w:bottom w:val="none" w:sz="0" w:space="0" w:color="auto"/>
        <w:right w:val="none" w:sz="0" w:space="0" w:color="auto"/>
      </w:divBdr>
      <w:divsChild>
        <w:div w:id="1746344536">
          <w:marLeft w:val="0"/>
          <w:marRight w:val="0"/>
          <w:marTop w:val="0"/>
          <w:marBottom w:val="0"/>
          <w:divBdr>
            <w:top w:val="none" w:sz="0" w:space="0" w:color="auto"/>
            <w:left w:val="none" w:sz="0" w:space="0" w:color="auto"/>
            <w:bottom w:val="none" w:sz="0" w:space="0" w:color="auto"/>
            <w:right w:val="none" w:sz="0" w:space="0" w:color="auto"/>
          </w:divBdr>
          <w:divsChild>
            <w:div w:id="843401904">
              <w:marLeft w:val="0"/>
              <w:marRight w:val="0"/>
              <w:marTop w:val="0"/>
              <w:marBottom w:val="0"/>
              <w:divBdr>
                <w:top w:val="none" w:sz="0" w:space="0" w:color="auto"/>
                <w:left w:val="none" w:sz="0" w:space="0" w:color="auto"/>
                <w:bottom w:val="none" w:sz="0" w:space="0" w:color="auto"/>
                <w:right w:val="none" w:sz="0" w:space="0" w:color="auto"/>
              </w:divBdr>
              <w:divsChild>
                <w:div w:id="286668525">
                  <w:marLeft w:val="0"/>
                  <w:marRight w:val="0"/>
                  <w:marTop w:val="0"/>
                  <w:marBottom w:val="0"/>
                  <w:divBdr>
                    <w:top w:val="none" w:sz="0" w:space="0" w:color="auto"/>
                    <w:left w:val="none" w:sz="0" w:space="0" w:color="auto"/>
                    <w:bottom w:val="none" w:sz="0" w:space="0" w:color="auto"/>
                    <w:right w:val="none" w:sz="0" w:space="0" w:color="auto"/>
                  </w:divBdr>
                  <w:divsChild>
                    <w:div w:id="7857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86268">
      <w:bodyDiv w:val="1"/>
      <w:marLeft w:val="0"/>
      <w:marRight w:val="0"/>
      <w:marTop w:val="0"/>
      <w:marBottom w:val="0"/>
      <w:divBdr>
        <w:top w:val="none" w:sz="0" w:space="0" w:color="auto"/>
        <w:left w:val="none" w:sz="0" w:space="0" w:color="auto"/>
        <w:bottom w:val="none" w:sz="0" w:space="0" w:color="auto"/>
        <w:right w:val="none" w:sz="0" w:space="0" w:color="auto"/>
      </w:divBdr>
      <w:divsChild>
        <w:div w:id="359820844">
          <w:marLeft w:val="0"/>
          <w:marRight w:val="0"/>
          <w:marTop w:val="0"/>
          <w:marBottom w:val="0"/>
          <w:divBdr>
            <w:top w:val="none" w:sz="0" w:space="0" w:color="auto"/>
            <w:left w:val="none" w:sz="0" w:space="0" w:color="auto"/>
            <w:bottom w:val="none" w:sz="0" w:space="0" w:color="auto"/>
            <w:right w:val="none" w:sz="0" w:space="0" w:color="auto"/>
          </w:divBdr>
          <w:divsChild>
            <w:div w:id="1585645519">
              <w:marLeft w:val="0"/>
              <w:marRight w:val="0"/>
              <w:marTop w:val="0"/>
              <w:marBottom w:val="0"/>
              <w:divBdr>
                <w:top w:val="none" w:sz="0" w:space="0" w:color="auto"/>
                <w:left w:val="none" w:sz="0" w:space="0" w:color="auto"/>
                <w:bottom w:val="none" w:sz="0" w:space="0" w:color="auto"/>
                <w:right w:val="none" w:sz="0" w:space="0" w:color="auto"/>
              </w:divBdr>
              <w:divsChild>
                <w:div w:id="763459128">
                  <w:marLeft w:val="0"/>
                  <w:marRight w:val="0"/>
                  <w:marTop w:val="0"/>
                  <w:marBottom w:val="0"/>
                  <w:divBdr>
                    <w:top w:val="none" w:sz="0" w:space="0" w:color="auto"/>
                    <w:left w:val="none" w:sz="0" w:space="0" w:color="auto"/>
                    <w:bottom w:val="none" w:sz="0" w:space="0" w:color="auto"/>
                    <w:right w:val="none" w:sz="0" w:space="0" w:color="auto"/>
                  </w:divBdr>
                  <w:divsChild>
                    <w:div w:id="3984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86788">
      <w:bodyDiv w:val="1"/>
      <w:marLeft w:val="0"/>
      <w:marRight w:val="0"/>
      <w:marTop w:val="0"/>
      <w:marBottom w:val="0"/>
      <w:divBdr>
        <w:top w:val="none" w:sz="0" w:space="0" w:color="auto"/>
        <w:left w:val="none" w:sz="0" w:space="0" w:color="auto"/>
        <w:bottom w:val="none" w:sz="0" w:space="0" w:color="auto"/>
        <w:right w:val="none" w:sz="0" w:space="0" w:color="auto"/>
      </w:divBdr>
    </w:div>
    <w:div w:id="1056472971">
      <w:bodyDiv w:val="1"/>
      <w:marLeft w:val="0"/>
      <w:marRight w:val="0"/>
      <w:marTop w:val="0"/>
      <w:marBottom w:val="0"/>
      <w:divBdr>
        <w:top w:val="none" w:sz="0" w:space="0" w:color="auto"/>
        <w:left w:val="none" w:sz="0" w:space="0" w:color="auto"/>
        <w:bottom w:val="none" w:sz="0" w:space="0" w:color="auto"/>
        <w:right w:val="none" w:sz="0" w:space="0" w:color="auto"/>
      </w:divBdr>
    </w:div>
    <w:div w:id="1093551083">
      <w:bodyDiv w:val="1"/>
      <w:marLeft w:val="0"/>
      <w:marRight w:val="0"/>
      <w:marTop w:val="0"/>
      <w:marBottom w:val="0"/>
      <w:divBdr>
        <w:top w:val="none" w:sz="0" w:space="0" w:color="auto"/>
        <w:left w:val="none" w:sz="0" w:space="0" w:color="auto"/>
        <w:bottom w:val="none" w:sz="0" w:space="0" w:color="auto"/>
        <w:right w:val="none" w:sz="0" w:space="0" w:color="auto"/>
      </w:divBdr>
    </w:div>
    <w:div w:id="1191718525">
      <w:bodyDiv w:val="1"/>
      <w:marLeft w:val="0"/>
      <w:marRight w:val="0"/>
      <w:marTop w:val="0"/>
      <w:marBottom w:val="0"/>
      <w:divBdr>
        <w:top w:val="none" w:sz="0" w:space="0" w:color="auto"/>
        <w:left w:val="none" w:sz="0" w:space="0" w:color="auto"/>
        <w:bottom w:val="none" w:sz="0" w:space="0" w:color="auto"/>
        <w:right w:val="none" w:sz="0" w:space="0" w:color="auto"/>
      </w:divBdr>
    </w:div>
    <w:div w:id="1205292063">
      <w:bodyDiv w:val="1"/>
      <w:marLeft w:val="0"/>
      <w:marRight w:val="0"/>
      <w:marTop w:val="0"/>
      <w:marBottom w:val="0"/>
      <w:divBdr>
        <w:top w:val="none" w:sz="0" w:space="0" w:color="auto"/>
        <w:left w:val="none" w:sz="0" w:space="0" w:color="auto"/>
        <w:bottom w:val="none" w:sz="0" w:space="0" w:color="auto"/>
        <w:right w:val="none" w:sz="0" w:space="0" w:color="auto"/>
      </w:divBdr>
      <w:divsChild>
        <w:div w:id="1394086922">
          <w:marLeft w:val="0"/>
          <w:marRight w:val="0"/>
          <w:marTop w:val="0"/>
          <w:marBottom w:val="0"/>
          <w:divBdr>
            <w:top w:val="none" w:sz="0" w:space="0" w:color="auto"/>
            <w:left w:val="none" w:sz="0" w:space="0" w:color="auto"/>
            <w:bottom w:val="none" w:sz="0" w:space="0" w:color="auto"/>
            <w:right w:val="none" w:sz="0" w:space="0" w:color="auto"/>
          </w:divBdr>
        </w:div>
      </w:divsChild>
    </w:div>
    <w:div w:id="1243367530">
      <w:bodyDiv w:val="1"/>
      <w:marLeft w:val="0"/>
      <w:marRight w:val="0"/>
      <w:marTop w:val="0"/>
      <w:marBottom w:val="0"/>
      <w:divBdr>
        <w:top w:val="none" w:sz="0" w:space="0" w:color="auto"/>
        <w:left w:val="none" w:sz="0" w:space="0" w:color="auto"/>
        <w:bottom w:val="none" w:sz="0" w:space="0" w:color="auto"/>
        <w:right w:val="none" w:sz="0" w:space="0" w:color="auto"/>
      </w:divBdr>
    </w:div>
    <w:div w:id="1318531588">
      <w:bodyDiv w:val="1"/>
      <w:marLeft w:val="0"/>
      <w:marRight w:val="0"/>
      <w:marTop w:val="0"/>
      <w:marBottom w:val="0"/>
      <w:divBdr>
        <w:top w:val="none" w:sz="0" w:space="0" w:color="auto"/>
        <w:left w:val="none" w:sz="0" w:space="0" w:color="auto"/>
        <w:bottom w:val="none" w:sz="0" w:space="0" w:color="auto"/>
        <w:right w:val="none" w:sz="0" w:space="0" w:color="auto"/>
      </w:divBdr>
    </w:div>
    <w:div w:id="1330714881">
      <w:bodyDiv w:val="1"/>
      <w:marLeft w:val="0"/>
      <w:marRight w:val="0"/>
      <w:marTop w:val="0"/>
      <w:marBottom w:val="0"/>
      <w:divBdr>
        <w:top w:val="none" w:sz="0" w:space="0" w:color="auto"/>
        <w:left w:val="none" w:sz="0" w:space="0" w:color="auto"/>
        <w:bottom w:val="none" w:sz="0" w:space="0" w:color="auto"/>
        <w:right w:val="none" w:sz="0" w:space="0" w:color="auto"/>
      </w:divBdr>
    </w:div>
    <w:div w:id="1380859324">
      <w:bodyDiv w:val="1"/>
      <w:marLeft w:val="0"/>
      <w:marRight w:val="0"/>
      <w:marTop w:val="0"/>
      <w:marBottom w:val="0"/>
      <w:divBdr>
        <w:top w:val="none" w:sz="0" w:space="0" w:color="auto"/>
        <w:left w:val="none" w:sz="0" w:space="0" w:color="auto"/>
        <w:bottom w:val="none" w:sz="0" w:space="0" w:color="auto"/>
        <w:right w:val="none" w:sz="0" w:space="0" w:color="auto"/>
      </w:divBdr>
      <w:divsChild>
        <w:div w:id="1556700619">
          <w:marLeft w:val="0"/>
          <w:marRight w:val="0"/>
          <w:marTop w:val="0"/>
          <w:marBottom w:val="0"/>
          <w:divBdr>
            <w:top w:val="none" w:sz="0" w:space="0" w:color="auto"/>
            <w:left w:val="none" w:sz="0" w:space="0" w:color="auto"/>
            <w:bottom w:val="none" w:sz="0" w:space="0" w:color="auto"/>
            <w:right w:val="none" w:sz="0" w:space="0" w:color="auto"/>
          </w:divBdr>
          <w:divsChild>
            <w:div w:id="792215632">
              <w:marLeft w:val="0"/>
              <w:marRight w:val="0"/>
              <w:marTop w:val="0"/>
              <w:marBottom w:val="0"/>
              <w:divBdr>
                <w:top w:val="none" w:sz="0" w:space="0" w:color="auto"/>
                <w:left w:val="none" w:sz="0" w:space="0" w:color="auto"/>
                <w:bottom w:val="none" w:sz="0" w:space="0" w:color="auto"/>
                <w:right w:val="none" w:sz="0" w:space="0" w:color="auto"/>
              </w:divBdr>
              <w:divsChild>
                <w:div w:id="8493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87024">
      <w:bodyDiv w:val="1"/>
      <w:marLeft w:val="0"/>
      <w:marRight w:val="0"/>
      <w:marTop w:val="0"/>
      <w:marBottom w:val="0"/>
      <w:divBdr>
        <w:top w:val="none" w:sz="0" w:space="0" w:color="auto"/>
        <w:left w:val="none" w:sz="0" w:space="0" w:color="auto"/>
        <w:bottom w:val="none" w:sz="0" w:space="0" w:color="auto"/>
        <w:right w:val="none" w:sz="0" w:space="0" w:color="auto"/>
      </w:divBdr>
    </w:div>
    <w:div w:id="1407923486">
      <w:bodyDiv w:val="1"/>
      <w:marLeft w:val="0"/>
      <w:marRight w:val="0"/>
      <w:marTop w:val="0"/>
      <w:marBottom w:val="0"/>
      <w:divBdr>
        <w:top w:val="none" w:sz="0" w:space="0" w:color="auto"/>
        <w:left w:val="none" w:sz="0" w:space="0" w:color="auto"/>
        <w:bottom w:val="none" w:sz="0" w:space="0" w:color="auto"/>
        <w:right w:val="none" w:sz="0" w:space="0" w:color="auto"/>
      </w:divBdr>
    </w:div>
    <w:div w:id="1422948382">
      <w:bodyDiv w:val="1"/>
      <w:marLeft w:val="0"/>
      <w:marRight w:val="0"/>
      <w:marTop w:val="0"/>
      <w:marBottom w:val="0"/>
      <w:divBdr>
        <w:top w:val="none" w:sz="0" w:space="0" w:color="auto"/>
        <w:left w:val="none" w:sz="0" w:space="0" w:color="auto"/>
        <w:bottom w:val="none" w:sz="0" w:space="0" w:color="auto"/>
        <w:right w:val="none" w:sz="0" w:space="0" w:color="auto"/>
      </w:divBdr>
    </w:div>
    <w:div w:id="1463694048">
      <w:bodyDiv w:val="1"/>
      <w:marLeft w:val="0"/>
      <w:marRight w:val="0"/>
      <w:marTop w:val="0"/>
      <w:marBottom w:val="0"/>
      <w:divBdr>
        <w:top w:val="none" w:sz="0" w:space="0" w:color="auto"/>
        <w:left w:val="none" w:sz="0" w:space="0" w:color="auto"/>
        <w:bottom w:val="none" w:sz="0" w:space="0" w:color="auto"/>
        <w:right w:val="none" w:sz="0" w:space="0" w:color="auto"/>
      </w:divBdr>
    </w:div>
    <w:div w:id="1473718707">
      <w:bodyDiv w:val="1"/>
      <w:marLeft w:val="0"/>
      <w:marRight w:val="0"/>
      <w:marTop w:val="0"/>
      <w:marBottom w:val="0"/>
      <w:divBdr>
        <w:top w:val="none" w:sz="0" w:space="0" w:color="auto"/>
        <w:left w:val="none" w:sz="0" w:space="0" w:color="auto"/>
        <w:bottom w:val="none" w:sz="0" w:space="0" w:color="auto"/>
        <w:right w:val="none" w:sz="0" w:space="0" w:color="auto"/>
      </w:divBdr>
      <w:divsChild>
        <w:div w:id="1536119135">
          <w:marLeft w:val="0"/>
          <w:marRight w:val="0"/>
          <w:marTop w:val="0"/>
          <w:marBottom w:val="0"/>
          <w:divBdr>
            <w:top w:val="none" w:sz="0" w:space="0" w:color="auto"/>
            <w:left w:val="none" w:sz="0" w:space="0" w:color="auto"/>
            <w:bottom w:val="none" w:sz="0" w:space="0" w:color="auto"/>
            <w:right w:val="none" w:sz="0" w:space="0" w:color="auto"/>
          </w:divBdr>
        </w:div>
      </w:divsChild>
    </w:div>
    <w:div w:id="1493064341">
      <w:bodyDiv w:val="1"/>
      <w:marLeft w:val="0"/>
      <w:marRight w:val="0"/>
      <w:marTop w:val="0"/>
      <w:marBottom w:val="0"/>
      <w:divBdr>
        <w:top w:val="none" w:sz="0" w:space="0" w:color="auto"/>
        <w:left w:val="none" w:sz="0" w:space="0" w:color="auto"/>
        <w:bottom w:val="none" w:sz="0" w:space="0" w:color="auto"/>
        <w:right w:val="none" w:sz="0" w:space="0" w:color="auto"/>
      </w:divBdr>
    </w:div>
    <w:div w:id="1542742831">
      <w:bodyDiv w:val="1"/>
      <w:marLeft w:val="0"/>
      <w:marRight w:val="0"/>
      <w:marTop w:val="0"/>
      <w:marBottom w:val="0"/>
      <w:divBdr>
        <w:top w:val="none" w:sz="0" w:space="0" w:color="auto"/>
        <w:left w:val="none" w:sz="0" w:space="0" w:color="auto"/>
        <w:bottom w:val="none" w:sz="0" w:space="0" w:color="auto"/>
        <w:right w:val="none" w:sz="0" w:space="0" w:color="auto"/>
      </w:divBdr>
      <w:divsChild>
        <w:div w:id="712733960">
          <w:marLeft w:val="0"/>
          <w:marRight w:val="0"/>
          <w:marTop w:val="0"/>
          <w:marBottom w:val="0"/>
          <w:divBdr>
            <w:top w:val="none" w:sz="0" w:space="0" w:color="auto"/>
            <w:left w:val="none" w:sz="0" w:space="0" w:color="auto"/>
            <w:bottom w:val="none" w:sz="0" w:space="0" w:color="auto"/>
            <w:right w:val="none" w:sz="0" w:space="0" w:color="auto"/>
          </w:divBdr>
          <w:divsChild>
            <w:div w:id="1047803645">
              <w:marLeft w:val="0"/>
              <w:marRight w:val="0"/>
              <w:marTop w:val="0"/>
              <w:marBottom w:val="0"/>
              <w:divBdr>
                <w:top w:val="none" w:sz="0" w:space="0" w:color="auto"/>
                <w:left w:val="none" w:sz="0" w:space="0" w:color="auto"/>
                <w:bottom w:val="none" w:sz="0" w:space="0" w:color="auto"/>
                <w:right w:val="none" w:sz="0" w:space="0" w:color="auto"/>
              </w:divBdr>
              <w:divsChild>
                <w:div w:id="29696387">
                  <w:marLeft w:val="0"/>
                  <w:marRight w:val="0"/>
                  <w:marTop w:val="0"/>
                  <w:marBottom w:val="0"/>
                  <w:divBdr>
                    <w:top w:val="none" w:sz="0" w:space="0" w:color="auto"/>
                    <w:left w:val="none" w:sz="0" w:space="0" w:color="auto"/>
                    <w:bottom w:val="none" w:sz="0" w:space="0" w:color="auto"/>
                    <w:right w:val="none" w:sz="0" w:space="0" w:color="auto"/>
                  </w:divBdr>
                  <w:divsChild>
                    <w:div w:id="19179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419">
      <w:bodyDiv w:val="1"/>
      <w:marLeft w:val="0"/>
      <w:marRight w:val="0"/>
      <w:marTop w:val="0"/>
      <w:marBottom w:val="0"/>
      <w:divBdr>
        <w:top w:val="none" w:sz="0" w:space="0" w:color="auto"/>
        <w:left w:val="none" w:sz="0" w:space="0" w:color="auto"/>
        <w:bottom w:val="none" w:sz="0" w:space="0" w:color="auto"/>
        <w:right w:val="none" w:sz="0" w:space="0" w:color="auto"/>
      </w:divBdr>
      <w:divsChild>
        <w:div w:id="2053460569">
          <w:marLeft w:val="0"/>
          <w:marRight w:val="0"/>
          <w:marTop w:val="0"/>
          <w:marBottom w:val="0"/>
          <w:divBdr>
            <w:top w:val="none" w:sz="0" w:space="0" w:color="auto"/>
            <w:left w:val="none" w:sz="0" w:space="0" w:color="auto"/>
            <w:bottom w:val="none" w:sz="0" w:space="0" w:color="auto"/>
            <w:right w:val="none" w:sz="0" w:space="0" w:color="auto"/>
          </w:divBdr>
        </w:div>
        <w:div w:id="1019894060">
          <w:marLeft w:val="0"/>
          <w:marRight w:val="0"/>
          <w:marTop w:val="0"/>
          <w:marBottom w:val="0"/>
          <w:divBdr>
            <w:top w:val="none" w:sz="0" w:space="0" w:color="auto"/>
            <w:left w:val="none" w:sz="0" w:space="0" w:color="auto"/>
            <w:bottom w:val="none" w:sz="0" w:space="0" w:color="auto"/>
            <w:right w:val="none" w:sz="0" w:space="0" w:color="auto"/>
          </w:divBdr>
        </w:div>
        <w:div w:id="451247489">
          <w:marLeft w:val="0"/>
          <w:marRight w:val="0"/>
          <w:marTop w:val="0"/>
          <w:marBottom w:val="0"/>
          <w:divBdr>
            <w:top w:val="none" w:sz="0" w:space="0" w:color="auto"/>
            <w:left w:val="none" w:sz="0" w:space="0" w:color="auto"/>
            <w:bottom w:val="none" w:sz="0" w:space="0" w:color="auto"/>
            <w:right w:val="none" w:sz="0" w:space="0" w:color="auto"/>
          </w:divBdr>
        </w:div>
      </w:divsChild>
    </w:div>
    <w:div w:id="1556965086">
      <w:bodyDiv w:val="1"/>
      <w:marLeft w:val="0"/>
      <w:marRight w:val="0"/>
      <w:marTop w:val="0"/>
      <w:marBottom w:val="0"/>
      <w:divBdr>
        <w:top w:val="none" w:sz="0" w:space="0" w:color="auto"/>
        <w:left w:val="none" w:sz="0" w:space="0" w:color="auto"/>
        <w:bottom w:val="none" w:sz="0" w:space="0" w:color="auto"/>
        <w:right w:val="none" w:sz="0" w:space="0" w:color="auto"/>
      </w:divBdr>
      <w:divsChild>
        <w:div w:id="913391519">
          <w:marLeft w:val="0"/>
          <w:marRight w:val="0"/>
          <w:marTop w:val="0"/>
          <w:marBottom w:val="0"/>
          <w:divBdr>
            <w:top w:val="none" w:sz="0" w:space="0" w:color="auto"/>
            <w:left w:val="none" w:sz="0" w:space="0" w:color="auto"/>
            <w:bottom w:val="none" w:sz="0" w:space="0" w:color="auto"/>
            <w:right w:val="none" w:sz="0" w:space="0" w:color="auto"/>
          </w:divBdr>
          <w:divsChild>
            <w:div w:id="19503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47944">
      <w:bodyDiv w:val="1"/>
      <w:marLeft w:val="0"/>
      <w:marRight w:val="0"/>
      <w:marTop w:val="0"/>
      <w:marBottom w:val="0"/>
      <w:divBdr>
        <w:top w:val="none" w:sz="0" w:space="0" w:color="auto"/>
        <w:left w:val="none" w:sz="0" w:space="0" w:color="auto"/>
        <w:bottom w:val="none" w:sz="0" w:space="0" w:color="auto"/>
        <w:right w:val="none" w:sz="0" w:space="0" w:color="auto"/>
      </w:divBdr>
    </w:div>
    <w:div w:id="1613396955">
      <w:bodyDiv w:val="1"/>
      <w:marLeft w:val="0"/>
      <w:marRight w:val="0"/>
      <w:marTop w:val="0"/>
      <w:marBottom w:val="0"/>
      <w:divBdr>
        <w:top w:val="none" w:sz="0" w:space="0" w:color="auto"/>
        <w:left w:val="none" w:sz="0" w:space="0" w:color="auto"/>
        <w:bottom w:val="none" w:sz="0" w:space="0" w:color="auto"/>
        <w:right w:val="none" w:sz="0" w:space="0" w:color="auto"/>
      </w:divBdr>
    </w:div>
    <w:div w:id="1719087950">
      <w:bodyDiv w:val="1"/>
      <w:marLeft w:val="0"/>
      <w:marRight w:val="0"/>
      <w:marTop w:val="0"/>
      <w:marBottom w:val="0"/>
      <w:divBdr>
        <w:top w:val="none" w:sz="0" w:space="0" w:color="auto"/>
        <w:left w:val="none" w:sz="0" w:space="0" w:color="auto"/>
        <w:bottom w:val="none" w:sz="0" w:space="0" w:color="auto"/>
        <w:right w:val="none" w:sz="0" w:space="0" w:color="auto"/>
      </w:divBdr>
      <w:divsChild>
        <w:div w:id="1343507444">
          <w:marLeft w:val="0"/>
          <w:marRight w:val="0"/>
          <w:marTop w:val="0"/>
          <w:marBottom w:val="0"/>
          <w:divBdr>
            <w:top w:val="none" w:sz="0" w:space="0" w:color="auto"/>
            <w:left w:val="none" w:sz="0" w:space="0" w:color="auto"/>
            <w:bottom w:val="none" w:sz="0" w:space="0" w:color="auto"/>
            <w:right w:val="none" w:sz="0" w:space="0" w:color="auto"/>
          </w:divBdr>
          <w:divsChild>
            <w:div w:id="2036078682">
              <w:marLeft w:val="0"/>
              <w:marRight w:val="0"/>
              <w:marTop w:val="0"/>
              <w:marBottom w:val="0"/>
              <w:divBdr>
                <w:top w:val="none" w:sz="0" w:space="0" w:color="auto"/>
                <w:left w:val="none" w:sz="0" w:space="0" w:color="auto"/>
                <w:bottom w:val="none" w:sz="0" w:space="0" w:color="auto"/>
                <w:right w:val="none" w:sz="0" w:space="0" w:color="auto"/>
              </w:divBdr>
              <w:divsChild>
                <w:div w:id="1789080886">
                  <w:marLeft w:val="0"/>
                  <w:marRight w:val="0"/>
                  <w:marTop w:val="0"/>
                  <w:marBottom w:val="0"/>
                  <w:divBdr>
                    <w:top w:val="none" w:sz="0" w:space="0" w:color="auto"/>
                    <w:left w:val="none" w:sz="0" w:space="0" w:color="auto"/>
                    <w:bottom w:val="none" w:sz="0" w:space="0" w:color="auto"/>
                    <w:right w:val="none" w:sz="0" w:space="0" w:color="auto"/>
                  </w:divBdr>
                  <w:divsChild>
                    <w:div w:id="17751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26695">
      <w:bodyDiv w:val="1"/>
      <w:marLeft w:val="0"/>
      <w:marRight w:val="0"/>
      <w:marTop w:val="0"/>
      <w:marBottom w:val="0"/>
      <w:divBdr>
        <w:top w:val="none" w:sz="0" w:space="0" w:color="auto"/>
        <w:left w:val="none" w:sz="0" w:space="0" w:color="auto"/>
        <w:bottom w:val="none" w:sz="0" w:space="0" w:color="auto"/>
        <w:right w:val="none" w:sz="0" w:space="0" w:color="auto"/>
      </w:divBdr>
    </w:div>
    <w:div w:id="1732263968">
      <w:bodyDiv w:val="1"/>
      <w:marLeft w:val="0"/>
      <w:marRight w:val="0"/>
      <w:marTop w:val="0"/>
      <w:marBottom w:val="0"/>
      <w:divBdr>
        <w:top w:val="none" w:sz="0" w:space="0" w:color="auto"/>
        <w:left w:val="none" w:sz="0" w:space="0" w:color="auto"/>
        <w:bottom w:val="none" w:sz="0" w:space="0" w:color="auto"/>
        <w:right w:val="none" w:sz="0" w:space="0" w:color="auto"/>
      </w:divBdr>
    </w:div>
    <w:div w:id="1779911670">
      <w:bodyDiv w:val="1"/>
      <w:marLeft w:val="0"/>
      <w:marRight w:val="0"/>
      <w:marTop w:val="0"/>
      <w:marBottom w:val="0"/>
      <w:divBdr>
        <w:top w:val="none" w:sz="0" w:space="0" w:color="auto"/>
        <w:left w:val="none" w:sz="0" w:space="0" w:color="auto"/>
        <w:bottom w:val="none" w:sz="0" w:space="0" w:color="auto"/>
        <w:right w:val="none" w:sz="0" w:space="0" w:color="auto"/>
      </w:divBdr>
    </w:div>
    <w:div w:id="1811510926">
      <w:bodyDiv w:val="1"/>
      <w:marLeft w:val="0"/>
      <w:marRight w:val="0"/>
      <w:marTop w:val="0"/>
      <w:marBottom w:val="0"/>
      <w:divBdr>
        <w:top w:val="none" w:sz="0" w:space="0" w:color="auto"/>
        <w:left w:val="none" w:sz="0" w:space="0" w:color="auto"/>
        <w:bottom w:val="none" w:sz="0" w:space="0" w:color="auto"/>
        <w:right w:val="none" w:sz="0" w:space="0" w:color="auto"/>
      </w:divBdr>
    </w:div>
    <w:div w:id="1836451001">
      <w:bodyDiv w:val="1"/>
      <w:marLeft w:val="0"/>
      <w:marRight w:val="0"/>
      <w:marTop w:val="0"/>
      <w:marBottom w:val="0"/>
      <w:divBdr>
        <w:top w:val="none" w:sz="0" w:space="0" w:color="auto"/>
        <w:left w:val="none" w:sz="0" w:space="0" w:color="auto"/>
        <w:bottom w:val="none" w:sz="0" w:space="0" w:color="auto"/>
        <w:right w:val="none" w:sz="0" w:space="0" w:color="auto"/>
      </w:divBdr>
      <w:divsChild>
        <w:div w:id="1294285684">
          <w:marLeft w:val="0"/>
          <w:marRight w:val="0"/>
          <w:marTop w:val="0"/>
          <w:marBottom w:val="0"/>
          <w:divBdr>
            <w:top w:val="none" w:sz="0" w:space="0" w:color="auto"/>
            <w:left w:val="none" w:sz="0" w:space="0" w:color="auto"/>
            <w:bottom w:val="none" w:sz="0" w:space="0" w:color="auto"/>
            <w:right w:val="none" w:sz="0" w:space="0" w:color="auto"/>
          </w:divBdr>
          <w:divsChild>
            <w:div w:id="261651523">
              <w:marLeft w:val="0"/>
              <w:marRight w:val="0"/>
              <w:marTop w:val="0"/>
              <w:marBottom w:val="0"/>
              <w:divBdr>
                <w:top w:val="none" w:sz="0" w:space="0" w:color="auto"/>
                <w:left w:val="none" w:sz="0" w:space="0" w:color="auto"/>
                <w:bottom w:val="none" w:sz="0" w:space="0" w:color="auto"/>
                <w:right w:val="none" w:sz="0" w:space="0" w:color="auto"/>
              </w:divBdr>
              <w:divsChild>
                <w:div w:id="1880587283">
                  <w:marLeft w:val="0"/>
                  <w:marRight w:val="0"/>
                  <w:marTop w:val="0"/>
                  <w:marBottom w:val="0"/>
                  <w:divBdr>
                    <w:top w:val="none" w:sz="0" w:space="0" w:color="auto"/>
                    <w:left w:val="none" w:sz="0" w:space="0" w:color="auto"/>
                    <w:bottom w:val="none" w:sz="0" w:space="0" w:color="auto"/>
                    <w:right w:val="none" w:sz="0" w:space="0" w:color="auto"/>
                  </w:divBdr>
                  <w:divsChild>
                    <w:div w:id="799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74258">
      <w:bodyDiv w:val="1"/>
      <w:marLeft w:val="0"/>
      <w:marRight w:val="0"/>
      <w:marTop w:val="0"/>
      <w:marBottom w:val="0"/>
      <w:divBdr>
        <w:top w:val="none" w:sz="0" w:space="0" w:color="auto"/>
        <w:left w:val="none" w:sz="0" w:space="0" w:color="auto"/>
        <w:bottom w:val="none" w:sz="0" w:space="0" w:color="auto"/>
        <w:right w:val="none" w:sz="0" w:space="0" w:color="auto"/>
      </w:divBdr>
      <w:divsChild>
        <w:div w:id="1897206868">
          <w:marLeft w:val="0"/>
          <w:marRight w:val="0"/>
          <w:marTop w:val="0"/>
          <w:marBottom w:val="0"/>
          <w:divBdr>
            <w:top w:val="none" w:sz="0" w:space="0" w:color="auto"/>
            <w:left w:val="none" w:sz="0" w:space="0" w:color="auto"/>
            <w:bottom w:val="none" w:sz="0" w:space="0" w:color="auto"/>
            <w:right w:val="none" w:sz="0" w:space="0" w:color="auto"/>
          </w:divBdr>
          <w:divsChild>
            <w:div w:id="177503767">
              <w:marLeft w:val="0"/>
              <w:marRight w:val="0"/>
              <w:marTop w:val="0"/>
              <w:marBottom w:val="0"/>
              <w:divBdr>
                <w:top w:val="none" w:sz="0" w:space="0" w:color="auto"/>
                <w:left w:val="none" w:sz="0" w:space="0" w:color="auto"/>
                <w:bottom w:val="none" w:sz="0" w:space="0" w:color="auto"/>
                <w:right w:val="none" w:sz="0" w:space="0" w:color="auto"/>
              </w:divBdr>
              <w:divsChild>
                <w:div w:id="2065908951">
                  <w:marLeft w:val="0"/>
                  <w:marRight w:val="0"/>
                  <w:marTop w:val="0"/>
                  <w:marBottom w:val="0"/>
                  <w:divBdr>
                    <w:top w:val="none" w:sz="0" w:space="0" w:color="auto"/>
                    <w:left w:val="none" w:sz="0" w:space="0" w:color="auto"/>
                    <w:bottom w:val="none" w:sz="0" w:space="0" w:color="auto"/>
                    <w:right w:val="none" w:sz="0" w:space="0" w:color="auto"/>
                  </w:divBdr>
                  <w:divsChild>
                    <w:div w:id="19329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546451">
      <w:bodyDiv w:val="1"/>
      <w:marLeft w:val="0"/>
      <w:marRight w:val="0"/>
      <w:marTop w:val="0"/>
      <w:marBottom w:val="0"/>
      <w:divBdr>
        <w:top w:val="none" w:sz="0" w:space="0" w:color="auto"/>
        <w:left w:val="none" w:sz="0" w:space="0" w:color="auto"/>
        <w:bottom w:val="none" w:sz="0" w:space="0" w:color="auto"/>
        <w:right w:val="none" w:sz="0" w:space="0" w:color="auto"/>
      </w:divBdr>
      <w:divsChild>
        <w:div w:id="1380593900">
          <w:marLeft w:val="0"/>
          <w:marRight w:val="0"/>
          <w:marTop w:val="0"/>
          <w:marBottom w:val="0"/>
          <w:divBdr>
            <w:top w:val="none" w:sz="0" w:space="0" w:color="auto"/>
            <w:left w:val="none" w:sz="0" w:space="0" w:color="auto"/>
            <w:bottom w:val="none" w:sz="0" w:space="0" w:color="auto"/>
            <w:right w:val="none" w:sz="0" w:space="0" w:color="auto"/>
          </w:divBdr>
          <w:divsChild>
            <w:div w:id="648557887">
              <w:marLeft w:val="0"/>
              <w:marRight w:val="0"/>
              <w:marTop w:val="0"/>
              <w:marBottom w:val="0"/>
              <w:divBdr>
                <w:top w:val="none" w:sz="0" w:space="0" w:color="auto"/>
                <w:left w:val="none" w:sz="0" w:space="0" w:color="auto"/>
                <w:bottom w:val="none" w:sz="0" w:space="0" w:color="auto"/>
                <w:right w:val="none" w:sz="0" w:space="0" w:color="auto"/>
              </w:divBdr>
              <w:divsChild>
                <w:div w:id="995497129">
                  <w:marLeft w:val="0"/>
                  <w:marRight w:val="0"/>
                  <w:marTop w:val="0"/>
                  <w:marBottom w:val="0"/>
                  <w:divBdr>
                    <w:top w:val="none" w:sz="0" w:space="0" w:color="auto"/>
                    <w:left w:val="none" w:sz="0" w:space="0" w:color="auto"/>
                    <w:bottom w:val="none" w:sz="0" w:space="0" w:color="auto"/>
                    <w:right w:val="none" w:sz="0" w:space="0" w:color="auto"/>
                  </w:divBdr>
                  <w:divsChild>
                    <w:div w:id="60804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05978">
      <w:bodyDiv w:val="1"/>
      <w:marLeft w:val="0"/>
      <w:marRight w:val="0"/>
      <w:marTop w:val="0"/>
      <w:marBottom w:val="0"/>
      <w:divBdr>
        <w:top w:val="none" w:sz="0" w:space="0" w:color="auto"/>
        <w:left w:val="none" w:sz="0" w:space="0" w:color="auto"/>
        <w:bottom w:val="none" w:sz="0" w:space="0" w:color="auto"/>
        <w:right w:val="none" w:sz="0" w:space="0" w:color="auto"/>
      </w:divBdr>
    </w:div>
    <w:div w:id="1985429320">
      <w:bodyDiv w:val="1"/>
      <w:marLeft w:val="0"/>
      <w:marRight w:val="0"/>
      <w:marTop w:val="0"/>
      <w:marBottom w:val="0"/>
      <w:divBdr>
        <w:top w:val="none" w:sz="0" w:space="0" w:color="auto"/>
        <w:left w:val="none" w:sz="0" w:space="0" w:color="auto"/>
        <w:bottom w:val="none" w:sz="0" w:space="0" w:color="auto"/>
        <w:right w:val="none" w:sz="0" w:space="0" w:color="auto"/>
      </w:divBdr>
      <w:divsChild>
        <w:div w:id="1339308589">
          <w:marLeft w:val="0"/>
          <w:marRight w:val="0"/>
          <w:marTop w:val="0"/>
          <w:marBottom w:val="0"/>
          <w:divBdr>
            <w:top w:val="none" w:sz="0" w:space="0" w:color="auto"/>
            <w:left w:val="none" w:sz="0" w:space="0" w:color="auto"/>
            <w:bottom w:val="none" w:sz="0" w:space="0" w:color="auto"/>
            <w:right w:val="none" w:sz="0" w:space="0" w:color="auto"/>
          </w:divBdr>
          <w:divsChild>
            <w:div w:id="2044019435">
              <w:marLeft w:val="0"/>
              <w:marRight w:val="0"/>
              <w:marTop w:val="0"/>
              <w:marBottom w:val="0"/>
              <w:divBdr>
                <w:top w:val="none" w:sz="0" w:space="0" w:color="auto"/>
                <w:left w:val="none" w:sz="0" w:space="0" w:color="auto"/>
                <w:bottom w:val="none" w:sz="0" w:space="0" w:color="auto"/>
                <w:right w:val="none" w:sz="0" w:space="0" w:color="auto"/>
              </w:divBdr>
              <w:divsChild>
                <w:div w:id="2863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3416">
      <w:bodyDiv w:val="1"/>
      <w:marLeft w:val="0"/>
      <w:marRight w:val="0"/>
      <w:marTop w:val="0"/>
      <w:marBottom w:val="0"/>
      <w:divBdr>
        <w:top w:val="none" w:sz="0" w:space="0" w:color="auto"/>
        <w:left w:val="none" w:sz="0" w:space="0" w:color="auto"/>
        <w:bottom w:val="none" w:sz="0" w:space="0" w:color="auto"/>
        <w:right w:val="none" w:sz="0" w:space="0" w:color="auto"/>
      </w:divBdr>
      <w:divsChild>
        <w:div w:id="1928921785">
          <w:marLeft w:val="0"/>
          <w:marRight w:val="0"/>
          <w:marTop w:val="0"/>
          <w:marBottom w:val="0"/>
          <w:divBdr>
            <w:top w:val="none" w:sz="0" w:space="0" w:color="auto"/>
            <w:left w:val="none" w:sz="0" w:space="0" w:color="auto"/>
            <w:bottom w:val="none" w:sz="0" w:space="0" w:color="auto"/>
            <w:right w:val="none" w:sz="0" w:space="0" w:color="auto"/>
          </w:divBdr>
          <w:divsChild>
            <w:div w:id="1864316745">
              <w:marLeft w:val="0"/>
              <w:marRight w:val="0"/>
              <w:marTop w:val="0"/>
              <w:marBottom w:val="0"/>
              <w:divBdr>
                <w:top w:val="none" w:sz="0" w:space="0" w:color="auto"/>
                <w:left w:val="none" w:sz="0" w:space="0" w:color="auto"/>
                <w:bottom w:val="none" w:sz="0" w:space="0" w:color="auto"/>
                <w:right w:val="none" w:sz="0" w:space="0" w:color="auto"/>
              </w:divBdr>
              <w:divsChild>
                <w:div w:id="1764954473">
                  <w:marLeft w:val="0"/>
                  <w:marRight w:val="0"/>
                  <w:marTop w:val="0"/>
                  <w:marBottom w:val="0"/>
                  <w:divBdr>
                    <w:top w:val="none" w:sz="0" w:space="0" w:color="auto"/>
                    <w:left w:val="none" w:sz="0" w:space="0" w:color="auto"/>
                    <w:bottom w:val="none" w:sz="0" w:space="0" w:color="auto"/>
                    <w:right w:val="none" w:sz="0" w:space="0" w:color="auto"/>
                  </w:divBdr>
                  <w:divsChild>
                    <w:div w:id="28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19830">
      <w:bodyDiv w:val="1"/>
      <w:marLeft w:val="0"/>
      <w:marRight w:val="0"/>
      <w:marTop w:val="0"/>
      <w:marBottom w:val="0"/>
      <w:divBdr>
        <w:top w:val="none" w:sz="0" w:space="0" w:color="auto"/>
        <w:left w:val="none" w:sz="0" w:space="0" w:color="auto"/>
        <w:bottom w:val="none" w:sz="0" w:space="0" w:color="auto"/>
        <w:right w:val="none" w:sz="0" w:space="0" w:color="auto"/>
      </w:divBdr>
      <w:divsChild>
        <w:div w:id="11615116">
          <w:marLeft w:val="0"/>
          <w:marRight w:val="0"/>
          <w:marTop w:val="0"/>
          <w:marBottom w:val="0"/>
          <w:divBdr>
            <w:top w:val="none" w:sz="0" w:space="0" w:color="auto"/>
            <w:left w:val="none" w:sz="0" w:space="0" w:color="auto"/>
            <w:bottom w:val="none" w:sz="0" w:space="0" w:color="auto"/>
            <w:right w:val="none" w:sz="0" w:space="0" w:color="auto"/>
          </w:divBdr>
        </w:div>
      </w:divsChild>
    </w:div>
    <w:div w:id="2070229405">
      <w:bodyDiv w:val="1"/>
      <w:marLeft w:val="0"/>
      <w:marRight w:val="0"/>
      <w:marTop w:val="0"/>
      <w:marBottom w:val="0"/>
      <w:divBdr>
        <w:top w:val="none" w:sz="0" w:space="0" w:color="auto"/>
        <w:left w:val="none" w:sz="0" w:space="0" w:color="auto"/>
        <w:bottom w:val="none" w:sz="0" w:space="0" w:color="auto"/>
        <w:right w:val="none" w:sz="0" w:space="0" w:color="auto"/>
      </w:divBdr>
    </w:div>
    <w:div w:id="2077043654">
      <w:bodyDiv w:val="1"/>
      <w:marLeft w:val="0"/>
      <w:marRight w:val="0"/>
      <w:marTop w:val="0"/>
      <w:marBottom w:val="0"/>
      <w:divBdr>
        <w:top w:val="none" w:sz="0" w:space="0" w:color="auto"/>
        <w:left w:val="none" w:sz="0" w:space="0" w:color="auto"/>
        <w:bottom w:val="none" w:sz="0" w:space="0" w:color="auto"/>
        <w:right w:val="none" w:sz="0" w:space="0" w:color="auto"/>
      </w:divBdr>
      <w:divsChild>
        <w:div w:id="737821867">
          <w:marLeft w:val="0"/>
          <w:marRight w:val="0"/>
          <w:marTop w:val="0"/>
          <w:marBottom w:val="0"/>
          <w:divBdr>
            <w:top w:val="none" w:sz="0" w:space="0" w:color="auto"/>
            <w:left w:val="none" w:sz="0" w:space="0" w:color="auto"/>
            <w:bottom w:val="none" w:sz="0" w:space="0" w:color="auto"/>
            <w:right w:val="none" w:sz="0" w:space="0" w:color="auto"/>
          </w:divBdr>
          <w:divsChild>
            <w:div w:id="1773626690">
              <w:marLeft w:val="0"/>
              <w:marRight w:val="0"/>
              <w:marTop w:val="0"/>
              <w:marBottom w:val="0"/>
              <w:divBdr>
                <w:top w:val="none" w:sz="0" w:space="0" w:color="auto"/>
                <w:left w:val="none" w:sz="0" w:space="0" w:color="auto"/>
                <w:bottom w:val="none" w:sz="0" w:space="0" w:color="auto"/>
                <w:right w:val="none" w:sz="0" w:space="0" w:color="auto"/>
              </w:divBdr>
              <w:divsChild>
                <w:div w:id="1902011455">
                  <w:marLeft w:val="0"/>
                  <w:marRight w:val="0"/>
                  <w:marTop w:val="0"/>
                  <w:marBottom w:val="0"/>
                  <w:divBdr>
                    <w:top w:val="none" w:sz="0" w:space="0" w:color="auto"/>
                    <w:left w:val="none" w:sz="0" w:space="0" w:color="auto"/>
                    <w:bottom w:val="none" w:sz="0" w:space="0" w:color="auto"/>
                    <w:right w:val="none" w:sz="0" w:space="0" w:color="auto"/>
                  </w:divBdr>
                  <w:divsChild>
                    <w:div w:id="13637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10281">
      <w:bodyDiv w:val="1"/>
      <w:marLeft w:val="0"/>
      <w:marRight w:val="0"/>
      <w:marTop w:val="0"/>
      <w:marBottom w:val="0"/>
      <w:divBdr>
        <w:top w:val="none" w:sz="0" w:space="0" w:color="auto"/>
        <w:left w:val="none" w:sz="0" w:space="0" w:color="auto"/>
        <w:bottom w:val="none" w:sz="0" w:space="0" w:color="auto"/>
        <w:right w:val="none" w:sz="0" w:space="0" w:color="auto"/>
      </w:divBdr>
    </w:div>
    <w:div w:id="209072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at>
  <regionname>ARZ</regionname>
  <processing_date>Mon Jul 22 2024 1721663378893</processing_date>
  <metadata_gmcs>
    <type>Article</type>
    <autorization_type>No existe autorización</autorization_type>
  </metadata_gmcs>
  <metadata-author-changed/>
  <metadata-institution-changed/>
  <templateat>true</templateat>
</metadataa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10548-CDF6-4281-828B-1B34F40B86FB}">
  <ds:schemaRefs/>
</ds:datastoreItem>
</file>

<file path=customXml/itemProps2.xml><?xml version="1.0" encoding="utf-8"?>
<ds:datastoreItem xmlns:ds="http://schemas.openxmlformats.org/officeDocument/2006/customXml" ds:itemID="{DC223CC8-09F6-47D9-8274-BDE39B51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13719</Words>
  <Characters>75455</Characters>
  <Application>Microsoft Office Word</Application>
  <DocSecurity>0</DocSecurity>
  <Lines>628</Lines>
  <Paragraphs>177</Paragraphs>
  <ScaleCrop>false</ScaleCrop>
  <Company/>
  <LinksUpToDate>false</LinksUpToDate>
  <CharactersWithSpaces>88997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2024-11-22T19:04:00Z</dcterms:created>
  <dcterms:modified xsi:type="dcterms:W3CDTF">2024-11-22T19:05:00Z</dcterms:modified>
</cp:coreProperties>
</file>