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C5" w:rsidRPr="00EE25D1" w:rsidRDefault="00B058C5" w:rsidP="00D44BF1">
      <w:pPr>
        <w:spacing w:before="100" w:beforeAutospacing="1" w:after="100" w:afterAutospacing="1" w:line="240" w:lineRule="auto"/>
        <w:jc w:val="center"/>
        <w:rPr>
          <w:rFonts w:ascii="Calibri" w:hAnsi="Calibri"/>
          <w:b/>
        </w:rPr>
      </w:pPr>
      <w:r w:rsidRPr="00EE25D1">
        <w:rPr>
          <w:rFonts w:ascii="Calibri" w:hAnsi="Calibri"/>
          <w:b/>
        </w:rPr>
        <w:t xml:space="preserve">MATRIMONIO, CAPITULACIONES MATRIMONIALES Y SOCIEDAD DE GANANCIALES </w:t>
      </w:r>
      <w:r w:rsidR="00176949" w:rsidRPr="00EE25D1">
        <w:rPr>
          <w:rFonts w:ascii="Calibri" w:hAnsi="Calibri"/>
          <w:b/>
        </w:rPr>
        <w:t xml:space="preserve">CONFORME A </w:t>
      </w:r>
      <w:r w:rsidRPr="00EE25D1">
        <w:rPr>
          <w:rFonts w:ascii="Calibri" w:hAnsi="Calibri"/>
          <w:b/>
        </w:rPr>
        <w:t>LAS ÚLTIMAS REFORMAS EN MATERIA DE DISCAPACIDAD</w:t>
      </w:r>
    </w:p>
    <w:p w:rsidR="0076748E" w:rsidRDefault="0076748E" w:rsidP="00D44BF1">
      <w:pPr>
        <w:tabs>
          <w:tab w:val="left" w:pos="8505"/>
        </w:tabs>
        <w:spacing w:before="100" w:beforeAutospacing="1" w:after="100" w:afterAutospacing="1" w:line="240" w:lineRule="auto"/>
        <w:rPr>
          <w:rFonts w:ascii="Calibri" w:hAnsi="Calibri"/>
        </w:rPr>
      </w:pPr>
    </w:p>
    <w:p w:rsidR="00176949" w:rsidRPr="00EE25D1" w:rsidRDefault="003D6413" w:rsidP="00D44BF1">
      <w:pPr>
        <w:tabs>
          <w:tab w:val="left" w:pos="8505"/>
        </w:tabs>
        <w:spacing w:before="100" w:beforeAutospacing="1" w:after="100" w:afterAutospacing="1" w:line="240" w:lineRule="auto"/>
        <w:rPr>
          <w:rFonts w:ascii="Calibri" w:hAnsi="Calibri"/>
        </w:rPr>
      </w:pPr>
      <w:r w:rsidRPr="00EE25D1">
        <w:rPr>
          <w:rFonts w:ascii="Calibri" w:hAnsi="Calibri"/>
          <w:smallCaps/>
        </w:rPr>
        <w:t>Title</w:t>
      </w:r>
      <w:r w:rsidR="00176949" w:rsidRPr="00EE25D1">
        <w:rPr>
          <w:rFonts w:ascii="Calibri" w:hAnsi="Calibri"/>
        </w:rPr>
        <w:t xml:space="preserve">: </w:t>
      </w:r>
      <w:r w:rsidR="00176949" w:rsidRPr="00EE25D1">
        <w:rPr>
          <w:rFonts w:ascii="Calibri" w:hAnsi="Calibri"/>
          <w:i/>
        </w:rPr>
        <w:t>Marriage, matrimonial property contracts and community property under the latest disability reforms</w:t>
      </w:r>
    </w:p>
    <w:p w:rsidR="006C153F" w:rsidRPr="00EE25D1" w:rsidRDefault="006C153F" w:rsidP="00D44BF1">
      <w:pPr>
        <w:tabs>
          <w:tab w:val="left" w:pos="8505"/>
        </w:tabs>
        <w:spacing w:before="100" w:beforeAutospacing="1" w:after="100" w:afterAutospacing="1" w:line="240" w:lineRule="auto"/>
        <w:rPr>
          <w:rFonts w:ascii="Calibri" w:hAnsi="Calibri"/>
        </w:rPr>
      </w:pPr>
      <w:r w:rsidRPr="00EE25D1">
        <w:rPr>
          <w:rFonts w:ascii="Calibri" w:hAnsi="Calibri"/>
          <w:smallCaps/>
        </w:rPr>
        <w:t>Resumen</w:t>
      </w:r>
      <w:r w:rsidRPr="00EE25D1">
        <w:rPr>
          <w:rFonts w:ascii="Calibri" w:hAnsi="Calibri"/>
        </w:rPr>
        <w:t>: El presente trabajo se va a centrar en el matrimonio</w:t>
      </w:r>
      <w:r w:rsidR="002C14EE" w:rsidRPr="00EE25D1">
        <w:rPr>
          <w:rFonts w:ascii="Calibri" w:hAnsi="Calibri"/>
        </w:rPr>
        <w:t>, entendiendo el término en sentido amplio,</w:t>
      </w:r>
      <w:r w:rsidRPr="00EE25D1">
        <w:rPr>
          <w:rFonts w:ascii="Calibri" w:hAnsi="Calibri"/>
        </w:rPr>
        <w:t xml:space="preserve"> y las últimas reformas legales en materia de discapacidad. El esquema que vertebrará este estudio será el siguiente: en primer lugar</w:t>
      </w:r>
      <w:r w:rsidR="00E420CC" w:rsidRPr="00EE25D1">
        <w:rPr>
          <w:rFonts w:ascii="Calibri" w:hAnsi="Calibri"/>
        </w:rPr>
        <w:t>,</w:t>
      </w:r>
      <w:r w:rsidRPr="00EE25D1">
        <w:rPr>
          <w:rFonts w:ascii="Calibri" w:hAnsi="Calibri"/>
        </w:rPr>
        <w:t xml:space="preserve"> abordaremos la actual dicción del artícu</w:t>
      </w:r>
      <w:r w:rsidR="00E420CC" w:rsidRPr="00EE25D1">
        <w:rPr>
          <w:rFonts w:ascii="Calibri" w:hAnsi="Calibri"/>
        </w:rPr>
        <w:t>lo 56 del Código Civil; aunque el citado precepto no fuese reformado por la la Ley 8/2021, de 8 de junio, por la que se reforma la legislación civil y procesal para el apoyo a las personas con discapacidad en el ejercicio de su capacidad jurídica, sus antecedentes traen causa de la Convención Internacional de las Naciones Unidas sobre los derechos de las personas con discapacidad, aprobada en Nueva York en 2006. En segundo lugar, nos sumergiremos en la capacidad de las personas con discapacidad para otorgar capitulaciones matrimoniales, dada cuenta de la derogación del artículo 1330 del Código Civil. En tercer y último lugar, intentaremos despejar el significado de los artículos 1387 y 1393.1º, en sede de sociedad de gananciales, y, especialmente, la exégesis que a nuestro juicio cabe realizar de la expresión “representación plena” que contiene dichos preceptos, así como</w:t>
      </w:r>
      <w:r w:rsidR="002C14EE" w:rsidRPr="00EE25D1">
        <w:rPr>
          <w:rFonts w:ascii="Calibri" w:hAnsi="Calibri"/>
        </w:rPr>
        <w:t xml:space="preserve"> el alcance que podría tener la guarda de hecho del cónyuge en la dinámica de la gestión y disolución de la sociedad de gananciales. </w:t>
      </w:r>
      <w:r w:rsidR="00E420CC" w:rsidRPr="00EE25D1">
        <w:rPr>
          <w:rFonts w:ascii="Calibri" w:hAnsi="Calibri"/>
        </w:rPr>
        <w:t xml:space="preserve"> </w:t>
      </w:r>
    </w:p>
    <w:p w:rsidR="000D2EF0" w:rsidRPr="00EE25D1" w:rsidRDefault="00B058C5" w:rsidP="00D44BF1">
      <w:pPr>
        <w:tabs>
          <w:tab w:val="left" w:pos="8505"/>
        </w:tabs>
        <w:spacing w:before="100" w:beforeAutospacing="1" w:after="100" w:afterAutospacing="1" w:line="240" w:lineRule="auto"/>
        <w:rPr>
          <w:rFonts w:ascii="Calibri" w:hAnsi="Calibri"/>
        </w:rPr>
      </w:pPr>
      <w:r w:rsidRPr="00EE25D1">
        <w:rPr>
          <w:rFonts w:ascii="Calibri" w:hAnsi="Calibri"/>
          <w:smallCaps/>
        </w:rPr>
        <w:t>Abstract</w:t>
      </w:r>
      <w:r w:rsidRPr="00EE25D1">
        <w:rPr>
          <w:rFonts w:ascii="Calibri" w:hAnsi="Calibri"/>
        </w:rPr>
        <w:t xml:space="preserve">: </w:t>
      </w:r>
      <w:r w:rsidRPr="00EE25D1">
        <w:rPr>
          <w:rFonts w:ascii="Calibri" w:hAnsi="Calibri"/>
          <w:i/>
        </w:rPr>
        <w:t>This paper will focus on marriage, in the broad sense of the term, and the latest legal reforms in the field of disability.</w:t>
      </w:r>
      <w:r w:rsidR="000D2EF0" w:rsidRPr="00EE25D1">
        <w:rPr>
          <w:rFonts w:ascii="Calibri" w:hAnsi="Calibri"/>
          <w:i/>
        </w:rPr>
        <w:t xml:space="preserve"> The outline of this study will be as follows: firstly, we will deal with the current wording of Article 56 of the Civil Code; although the aforementioned precept was not reformed by Law 8/2021, of 8 June, which reforms civil and procedural legislation to support persons with disabilities in the exercise of their legal capacity, its antecedents are rooted in the United Nations International Convention on the Rights of Persons with Disabilities, adopted in New York in 2006. Secondly, we will dive into the capacity of persons with disabilities to grant marriage contracts, given the repeal of article 1330 of the Civil Code. Thirdly and lastly, we will try to clarify the meaning of Articles 1387 and 1393.1, in the context of the community of property, and, especially, the exegesis that in our opinion can be made of the expression "full representation" contained in these provisions, as well as the scope that the de facto guardianship of the spouse could have in the dynamics of the management and dissolution of the community of property.</w:t>
      </w:r>
      <w:r w:rsidR="000D2EF0" w:rsidRPr="00EE25D1">
        <w:rPr>
          <w:rFonts w:ascii="Calibri" w:hAnsi="Calibri"/>
        </w:rPr>
        <w:t xml:space="preserve">  </w:t>
      </w:r>
    </w:p>
    <w:p w:rsidR="00176949" w:rsidRPr="00EE25D1" w:rsidRDefault="00176949" w:rsidP="00D44BF1">
      <w:pPr>
        <w:tabs>
          <w:tab w:val="left" w:pos="8505"/>
        </w:tabs>
        <w:spacing w:before="100" w:beforeAutospacing="1" w:after="100" w:afterAutospacing="1" w:line="240" w:lineRule="auto"/>
        <w:rPr>
          <w:rFonts w:ascii="Calibri" w:hAnsi="Calibri"/>
        </w:rPr>
      </w:pPr>
      <w:r w:rsidRPr="00EE25D1">
        <w:rPr>
          <w:rFonts w:ascii="Calibri" w:hAnsi="Calibri"/>
          <w:smallCaps/>
        </w:rPr>
        <w:t>Palabras claves</w:t>
      </w:r>
      <w:r w:rsidRPr="00EE25D1">
        <w:rPr>
          <w:rFonts w:ascii="Calibri" w:hAnsi="Calibri"/>
        </w:rPr>
        <w:t>: discapacidad, matrimonio, apoyo, capitulaciones matrimoniales, sociedad de gananciales, curatela, guarda de hecho.</w:t>
      </w:r>
    </w:p>
    <w:p w:rsidR="000D2EF0" w:rsidRPr="00EE25D1" w:rsidRDefault="00176949" w:rsidP="00D44BF1">
      <w:pPr>
        <w:tabs>
          <w:tab w:val="left" w:pos="8505"/>
        </w:tabs>
        <w:spacing w:before="100" w:beforeAutospacing="1" w:after="100" w:afterAutospacing="1" w:line="240" w:lineRule="auto"/>
        <w:rPr>
          <w:rFonts w:ascii="Calibri" w:hAnsi="Calibri"/>
        </w:rPr>
      </w:pPr>
      <w:r w:rsidRPr="00EE25D1">
        <w:rPr>
          <w:rFonts w:ascii="Calibri" w:hAnsi="Calibri"/>
          <w:smallCaps/>
        </w:rPr>
        <w:t>Key words</w:t>
      </w:r>
      <w:r w:rsidRPr="00EE25D1">
        <w:rPr>
          <w:rFonts w:ascii="Calibri" w:hAnsi="Calibri"/>
        </w:rPr>
        <w:t xml:space="preserve">: disability, </w:t>
      </w:r>
      <w:r w:rsidRPr="00EE25D1">
        <w:rPr>
          <w:rFonts w:ascii="Calibri" w:hAnsi="Calibri"/>
          <w:i/>
        </w:rPr>
        <w:t xml:space="preserve">marriage, </w:t>
      </w:r>
      <w:r w:rsidRPr="00EE25D1">
        <w:rPr>
          <w:rFonts w:ascii="Calibri" w:hAnsi="Calibri"/>
        </w:rPr>
        <w:t>support, marriage contracts, community of property, guard, curatorship.</w:t>
      </w:r>
    </w:p>
    <w:p w:rsidR="00D03276" w:rsidRPr="00EE25D1" w:rsidRDefault="003B446E" w:rsidP="00D44BF1">
      <w:pPr>
        <w:tabs>
          <w:tab w:val="left" w:pos="8505"/>
        </w:tabs>
        <w:spacing w:before="100" w:beforeAutospacing="1" w:after="100" w:afterAutospacing="1" w:line="240" w:lineRule="auto"/>
        <w:rPr>
          <w:rFonts w:ascii="Calibri" w:hAnsi="Calibri"/>
          <w:i/>
          <w:color w:val="000000" w:themeColor="text1"/>
          <w:shd w:val="clear" w:color="auto" w:fill="FFFFFF"/>
        </w:rPr>
      </w:pPr>
      <w:r w:rsidRPr="00EE25D1">
        <w:rPr>
          <w:rFonts w:ascii="Calibri" w:hAnsi="Calibri"/>
          <w:smallCaps/>
        </w:rPr>
        <w:t>Sumario</w:t>
      </w:r>
      <w:r w:rsidRPr="00EE25D1">
        <w:rPr>
          <w:rFonts w:ascii="Calibri" w:hAnsi="Calibri"/>
        </w:rPr>
        <w:t xml:space="preserve">: </w:t>
      </w:r>
      <w:r w:rsidR="00C02EF1" w:rsidRPr="00EE25D1">
        <w:rPr>
          <w:rFonts w:ascii="Calibri" w:hAnsi="Calibri"/>
        </w:rPr>
        <w:t>1</w:t>
      </w:r>
      <w:r w:rsidR="00C53AC1" w:rsidRPr="00EE25D1">
        <w:rPr>
          <w:rFonts w:ascii="Calibri" w:hAnsi="Calibri"/>
        </w:rPr>
        <w:t>.</w:t>
      </w:r>
      <w:r w:rsidRPr="00EE25D1">
        <w:rPr>
          <w:rFonts w:ascii="Calibri" w:hAnsi="Calibri"/>
        </w:rPr>
        <w:t xml:space="preserve"> </w:t>
      </w:r>
      <w:r w:rsidR="00793644" w:rsidRPr="00EE25D1">
        <w:rPr>
          <w:rFonts w:ascii="Calibri" w:hAnsi="Calibri"/>
          <w:smallCaps/>
        </w:rPr>
        <w:t>I</w:t>
      </w:r>
      <w:r w:rsidRPr="00EE25D1">
        <w:rPr>
          <w:rFonts w:ascii="Calibri" w:hAnsi="Calibri"/>
          <w:smallCaps/>
        </w:rPr>
        <w:t>ntroducción</w:t>
      </w:r>
      <w:r w:rsidR="00C02EF1" w:rsidRPr="00EE25D1">
        <w:rPr>
          <w:rFonts w:ascii="Calibri" w:hAnsi="Calibri"/>
        </w:rPr>
        <w:t>. 2.</w:t>
      </w:r>
      <w:r w:rsidR="00501449" w:rsidRPr="00EE25D1">
        <w:rPr>
          <w:rFonts w:ascii="Calibri" w:hAnsi="Calibri"/>
        </w:rPr>
        <w:t xml:space="preserve"> </w:t>
      </w:r>
      <w:r w:rsidR="00C774BE" w:rsidRPr="00EE25D1">
        <w:rPr>
          <w:rFonts w:ascii="Calibri" w:hAnsi="Calibri"/>
          <w:smallCaps/>
        </w:rPr>
        <w:t>C</w:t>
      </w:r>
      <w:r w:rsidRPr="00EE25D1">
        <w:rPr>
          <w:rFonts w:ascii="Calibri" w:hAnsi="Calibri"/>
          <w:smallCaps/>
        </w:rPr>
        <w:t>apacidad para contraer matrimonio</w:t>
      </w:r>
      <w:r w:rsidR="00C02EF1" w:rsidRPr="00EE25D1">
        <w:rPr>
          <w:rFonts w:ascii="Calibri" w:hAnsi="Calibri"/>
        </w:rPr>
        <w:t>. 2.1</w:t>
      </w:r>
      <w:r w:rsidR="00E25D21" w:rsidRPr="00EE25D1">
        <w:rPr>
          <w:rFonts w:ascii="Calibri" w:hAnsi="Calibri"/>
        </w:rPr>
        <w:t xml:space="preserve">. </w:t>
      </w:r>
      <w:r w:rsidR="00E25D21" w:rsidRPr="00EE25D1">
        <w:rPr>
          <w:rFonts w:ascii="Calibri" w:hAnsi="Calibri"/>
          <w:i/>
        </w:rPr>
        <w:t>Antecedentes legislativos</w:t>
      </w:r>
      <w:r w:rsidR="00E25D21" w:rsidRPr="00EE25D1">
        <w:rPr>
          <w:rFonts w:ascii="Calibri" w:hAnsi="Calibri"/>
        </w:rPr>
        <w:t xml:space="preserve">. </w:t>
      </w:r>
      <w:r w:rsidRPr="00EE25D1">
        <w:rPr>
          <w:rFonts w:ascii="Calibri" w:hAnsi="Calibri"/>
          <w:color w:val="000000" w:themeColor="text1"/>
          <w:shd w:val="clear" w:color="auto" w:fill="FFFFFF"/>
        </w:rPr>
        <w:t>2.</w:t>
      </w:r>
      <w:r w:rsidR="00C02EF1" w:rsidRPr="00EE25D1">
        <w:rPr>
          <w:rFonts w:ascii="Calibri" w:hAnsi="Calibri"/>
          <w:color w:val="000000" w:themeColor="text1"/>
          <w:shd w:val="clear" w:color="auto" w:fill="FFFFFF"/>
        </w:rPr>
        <w:t>2.</w:t>
      </w:r>
      <w:r w:rsidRPr="00EE25D1">
        <w:rPr>
          <w:rFonts w:ascii="Calibri" w:hAnsi="Calibri"/>
          <w:color w:val="000000" w:themeColor="text1"/>
          <w:shd w:val="clear" w:color="auto" w:fill="FFFFFF"/>
        </w:rPr>
        <w:t xml:space="preserve"> </w:t>
      </w:r>
      <w:r w:rsidRPr="00EE25D1">
        <w:rPr>
          <w:rFonts w:ascii="Calibri" w:hAnsi="Calibri"/>
          <w:i/>
          <w:color w:val="000000" w:themeColor="text1"/>
          <w:shd w:val="clear" w:color="auto" w:fill="FFFFFF"/>
        </w:rPr>
        <w:t>Ámbito de aplicación del artículo 56 del Código Civil</w:t>
      </w:r>
      <w:r w:rsidR="00E25D21" w:rsidRPr="00EE25D1">
        <w:rPr>
          <w:rFonts w:ascii="Calibri" w:hAnsi="Calibri"/>
          <w:color w:val="000000" w:themeColor="text1"/>
          <w:shd w:val="clear" w:color="auto" w:fill="FFFFFF"/>
        </w:rPr>
        <w:t xml:space="preserve">. </w:t>
      </w:r>
      <w:r w:rsidR="00C02EF1" w:rsidRPr="00EE25D1">
        <w:rPr>
          <w:rFonts w:ascii="Calibri" w:hAnsi="Calibri"/>
          <w:color w:val="000000"/>
          <w:shd w:val="clear" w:color="auto" w:fill="FFFFFF"/>
        </w:rPr>
        <w:t>2.2.1.</w:t>
      </w:r>
      <w:r w:rsidR="00E25D21" w:rsidRPr="00EE25D1">
        <w:rPr>
          <w:rFonts w:ascii="Calibri" w:hAnsi="Calibri"/>
          <w:color w:val="000000"/>
          <w:shd w:val="clear" w:color="auto" w:fill="FFFFFF"/>
        </w:rPr>
        <w:t xml:space="preserve"> </w:t>
      </w:r>
      <w:r w:rsidR="00E25D21" w:rsidRPr="00EE25D1">
        <w:rPr>
          <w:rFonts w:ascii="Calibri" w:hAnsi="Calibri"/>
          <w:color w:val="000000"/>
          <w:shd w:val="clear" w:color="auto" w:fill="FFFFFF"/>
        </w:rPr>
        <w:lastRenderedPageBreak/>
        <w:t>Contrayente con dis</w:t>
      </w:r>
      <w:r w:rsidR="00C02EF1" w:rsidRPr="00EE25D1">
        <w:rPr>
          <w:rFonts w:ascii="Calibri" w:hAnsi="Calibri"/>
          <w:color w:val="000000"/>
          <w:shd w:val="clear" w:color="auto" w:fill="FFFFFF"/>
        </w:rPr>
        <w:t>capacidad física o sensorial. 2.2.2</w:t>
      </w:r>
      <w:r w:rsidR="00E25D21" w:rsidRPr="00EE25D1">
        <w:rPr>
          <w:rFonts w:ascii="Calibri" w:hAnsi="Calibri"/>
          <w:color w:val="000000"/>
          <w:shd w:val="clear" w:color="auto" w:fill="FFFFFF"/>
        </w:rPr>
        <w:t xml:space="preserve"> Contrayente con discapacidad psíquica, intelectual o mental. </w:t>
      </w:r>
      <w:r w:rsidR="00C02EF1" w:rsidRPr="00EE25D1">
        <w:rPr>
          <w:rFonts w:ascii="Calibri" w:hAnsi="Calibri"/>
          <w:color w:val="000000"/>
          <w:shd w:val="clear" w:color="auto" w:fill="FFFFFF"/>
        </w:rPr>
        <w:t>2.</w:t>
      </w:r>
      <w:r w:rsidR="00E25D21" w:rsidRPr="00EE25D1">
        <w:rPr>
          <w:rFonts w:ascii="Calibri" w:hAnsi="Calibri"/>
          <w:color w:val="000000" w:themeColor="text1"/>
          <w:shd w:val="clear" w:color="auto" w:fill="FFFFFF"/>
        </w:rPr>
        <w:t xml:space="preserve">3. </w:t>
      </w:r>
      <w:r w:rsidR="00E25D21" w:rsidRPr="00EE25D1">
        <w:rPr>
          <w:rFonts w:ascii="Calibri" w:hAnsi="Calibri"/>
          <w:i/>
          <w:color w:val="000000" w:themeColor="text1"/>
          <w:shd w:val="clear" w:color="auto" w:fill="FFFFFF"/>
        </w:rPr>
        <w:t xml:space="preserve">¿El apoyo desvirtúa el carácter intuitu personae del matrimonio? </w:t>
      </w:r>
      <w:r w:rsidR="00C02EF1" w:rsidRPr="00EE25D1">
        <w:rPr>
          <w:rFonts w:ascii="Calibri" w:hAnsi="Calibri"/>
          <w:color w:val="000000" w:themeColor="text1"/>
          <w:shd w:val="clear" w:color="auto" w:fill="FFFFFF"/>
        </w:rPr>
        <w:t>2.</w:t>
      </w:r>
      <w:r w:rsidR="00E25D21" w:rsidRPr="00EE25D1">
        <w:rPr>
          <w:rFonts w:ascii="Calibri" w:hAnsi="Calibri"/>
          <w:color w:val="000000" w:themeColor="text1"/>
          <w:shd w:val="clear" w:color="auto" w:fill="FFFFFF"/>
        </w:rPr>
        <w:t xml:space="preserve">4. </w:t>
      </w:r>
      <w:r w:rsidR="00E25D21" w:rsidRPr="00EE25D1">
        <w:rPr>
          <w:rFonts w:ascii="Calibri" w:hAnsi="Calibri"/>
          <w:i/>
          <w:color w:val="000000" w:themeColor="text1"/>
          <w:shd w:val="clear" w:color="auto" w:fill="FFFFFF"/>
        </w:rPr>
        <w:t>La provisión de apoy</w:t>
      </w:r>
      <w:r w:rsidR="00C02EF1" w:rsidRPr="00EE25D1">
        <w:rPr>
          <w:rFonts w:ascii="Calibri" w:hAnsi="Calibri"/>
          <w:i/>
          <w:color w:val="000000" w:themeColor="text1"/>
          <w:shd w:val="clear" w:color="auto" w:fill="FFFFFF"/>
        </w:rPr>
        <w:t>o en el expediente matrimonial</w:t>
      </w:r>
      <w:r w:rsidR="00C02EF1" w:rsidRPr="00EE25D1">
        <w:rPr>
          <w:rFonts w:ascii="Calibri" w:hAnsi="Calibri"/>
          <w:color w:val="000000" w:themeColor="text1"/>
          <w:shd w:val="clear" w:color="auto" w:fill="FFFFFF"/>
        </w:rPr>
        <w:t>. 2.</w:t>
      </w:r>
      <w:r w:rsidR="00A91C27" w:rsidRPr="00EE25D1">
        <w:rPr>
          <w:rFonts w:ascii="Calibri" w:hAnsi="Calibri"/>
          <w:color w:val="000000" w:themeColor="text1"/>
          <w:shd w:val="clear" w:color="auto" w:fill="FFFFFF"/>
        </w:rPr>
        <w:t>4</w:t>
      </w:r>
      <w:r w:rsidR="00C02EF1" w:rsidRPr="00EE25D1">
        <w:rPr>
          <w:rFonts w:ascii="Calibri" w:hAnsi="Calibri"/>
          <w:color w:val="000000" w:themeColor="text1"/>
          <w:shd w:val="clear" w:color="auto" w:fill="FFFFFF"/>
        </w:rPr>
        <w:t>.</w:t>
      </w:r>
      <w:r w:rsidR="00A91C27" w:rsidRPr="00EE25D1">
        <w:rPr>
          <w:rFonts w:ascii="Calibri" w:hAnsi="Calibri"/>
          <w:color w:val="000000" w:themeColor="text1"/>
          <w:shd w:val="clear" w:color="auto" w:fill="FFFFFF"/>
        </w:rPr>
        <w:t>1.</w:t>
      </w:r>
      <w:r w:rsidR="00C02EF1" w:rsidRPr="00EE25D1">
        <w:rPr>
          <w:rFonts w:ascii="Calibri" w:hAnsi="Calibri"/>
          <w:color w:val="000000" w:themeColor="text1"/>
          <w:shd w:val="clear" w:color="auto" w:fill="FFFFFF"/>
        </w:rPr>
        <w:t xml:space="preserve"> </w:t>
      </w:r>
      <w:r w:rsidR="00E25D21" w:rsidRPr="00EE25D1">
        <w:rPr>
          <w:rFonts w:ascii="Calibri" w:hAnsi="Calibri"/>
          <w:color w:val="000000"/>
          <w:shd w:val="clear" w:color="auto" w:fill="FFFFFF"/>
        </w:rPr>
        <w:t xml:space="preserve">Finalidad del apoyo. </w:t>
      </w:r>
      <w:r w:rsidR="00A91C27" w:rsidRPr="00EE25D1">
        <w:rPr>
          <w:rFonts w:ascii="Calibri" w:hAnsi="Calibri"/>
          <w:color w:val="000000" w:themeColor="text1"/>
          <w:shd w:val="clear" w:color="auto" w:fill="FFFFFF"/>
        </w:rPr>
        <w:t xml:space="preserve">2.4.2. El contrayente desprovisto de apoyo. </w:t>
      </w:r>
      <w:r w:rsidR="00A91C27" w:rsidRPr="00EE25D1">
        <w:rPr>
          <w:rFonts w:ascii="Calibri" w:hAnsi="Calibri"/>
          <w:i/>
          <w:color w:val="000000" w:themeColor="text1"/>
          <w:shd w:val="clear" w:color="auto" w:fill="FFFFFF"/>
        </w:rPr>
        <w:t xml:space="preserve">2.5. Procedencia y potencialidad decisoria del dictamen médico. </w:t>
      </w:r>
      <w:r w:rsidR="00C02EF1" w:rsidRPr="00EE25D1">
        <w:rPr>
          <w:rFonts w:ascii="Calibri" w:hAnsi="Calibri"/>
          <w:color w:val="000000" w:themeColor="text1"/>
          <w:shd w:val="clear" w:color="auto" w:fill="FFFFFF"/>
        </w:rPr>
        <w:t>3</w:t>
      </w:r>
      <w:r w:rsidR="00E25D21" w:rsidRPr="00EE25D1">
        <w:rPr>
          <w:rFonts w:ascii="Calibri" w:hAnsi="Calibri"/>
          <w:color w:val="000000" w:themeColor="text1"/>
          <w:shd w:val="clear" w:color="auto" w:fill="FFFFFF"/>
        </w:rPr>
        <w:t xml:space="preserve">. </w:t>
      </w:r>
      <w:r w:rsidR="00A85534" w:rsidRPr="00EE25D1">
        <w:rPr>
          <w:rFonts w:ascii="Calibri" w:hAnsi="Calibri"/>
          <w:smallCaps/>
          <w:color w:val="000000" w:themeColor="text1"/>
          <w:shd w:val="clear" w:color="auto" w:fill="FFFFFF"/>
        </w:rPr>
        <w:t>C</w:t>
      </w:r>
      <w:r w:rsidRPr="00EE25D1">
        <w:rPr>
          <w:rFonts w:ascii="Calibri" w:hAnsi="Calibri"/>
          <w:smallCaps/>
          <w:color w:val="000000" w:themeColor="text1"/>
          <w:shd w:val="clear" w:color="auto" w:fill="FFFFFF"/>
        </w:rPr>
        <w:t>apacidad para otorgar capitulaciones matrimoniales</w:t>
      </w:r>
      <w:r w:rsidR="00E25D21" w:rsidRPr="00EE25D1">
        <w:rPr>
          <w:rFonts w:ascii="Calibri" w:hAnsi="Calibri"/>
          <w:color w:val="000000" w:themeColor="text1"/>
          <w:shd w:val="clear" w:color="auto" w:fill="FFFFFF"/>
        </w:rPr>
        <w:t xml:space="preserve">. </w:t>
      </w:r>
      <w:r w:rsidR="00C02EF1" w:rsidRPr="00EE25D1">
        <w:rPr>
          <w:rFonts w:ascii="Calibri" w:hAnsi="Calibri"/>
        </w:rPr>
        <w:t>4</w:t>
      </w:r>
      <w:r w:rsidR="00E25D21" w:rsidRPr="00EE25D1">
        <w:rPr>
          <w:rFonts w:ascii="Calibri" w:hAnsi="Calibri"/>
        </w:rPr>
        <w:t xml:space="preserve">. </w:t>
      </w:r>
      <w:r w:rsidR="006705C5" w:rsidRPr="00EE25D1">
        <w:rPr>
          <w:rFonts w:ascii="Calibri" w:hAnsi="Calibri"/>
          <w:smallCaps/>
        </w:rPr>
        <w:t>G</w:t>
      </w:r>
      <w:r w:rsidRPr="00EE25D1">
        <w:rPr>
          <w:rFonts w:ascii="Calibri" w:hAnsi="Calibri"/>
          <w:smallCaps/>
        </w:rPr>
        <w:t xml:space="preserve">estión y disolución de la sociedad de gananciales: exégesis de los artículos 1387 y 1393.1º </w:t>
      </w:r>
      <w:r w:rsidRPr="00EE25D1">
        <w:rPr>
          <w:rFonts w:ascii="Calibri" w:hAnsi="Calibri"/>
          <w:smallCaps/>
          <w:color w:val="000000" w:themeColor="text1"/>
          <w:shd w:val="clear" w:color="auto" w:fill="FFFFFF"/>
        </w:rPr>
        <w:t>del Código Civil</w:t>
      </w:r>
      <w:r w:rsidRPr="00EE25D1">
        <w:rPr>
          <w:rFonts w:ascii="Calibri" w:hAnsi="Calibri"/>
          <w:color w:val="000000" w:themeColor="text1"/>
          <w:shd w:val="clear" w:color="auto" w:fill="FFFFFF"/>
        </w:rPr>
        <w:t xml:space="preserve">. </w:t>
      </w:r>
      <w:r w:rsidR="00C02EF1" w:rsidRPr="00EE25D1">
        <w:rPr>
          <w:rFonts w:ascii="Calibri" w:hAnsi="Calibri"/>
          <w:color w:val="000000" w:themeColor="text1"/>
          <w:shd w:val="clear" w:color="auto" w:fill="FFFFFF"/>
        </w:rPr>
        <w:t>4.1.</w:t>
      </w:r>
      <w:r w:rsidRPr="00EE25D1">
        <w:rPr>
          <w:rFonts w:ascii="Calibri" w:hAnsi="Calibri"/>
          <w:color w:val="000000" w:themeColor="text1"/>
          <w:shd w:val="clear" w:color="auto" w:fill="FFFFFF"/>
        </w:rPr>
        <w:t xml:space="preserve"> </w:t>
      </w:r>
      <w:r w:rsidR="00E25D21" w:rsidRPr="00EE25D1">
        <w:rPr>
          <w:rFonts w:ascii="Calibri" w:hAnsi="Calibri"/>
          <w:i/>
          <w:color w:val="000000" w:themeColor="text1"/>
          <w:shd w:val="clear" w:color="auto" w:fill="FFFFFF"/>
        </w:rPr>
        <w:t xml:space="preserve">¿Qué significa facultades </w:t>
      </w:r>
      <w:r w:rsidR="00C02EF1" w:rsidRPr="00EE25D1">
        <w:rPr>
          <w:rFonts w:ascii="Calibri" w:hAnsi="Calibri"/>
          <w:i/>
          <w:color w:val="000000" w:themeColor="text1"/>
          <w:shd w:val="clear" w:color="auto" w:fill="FFFFFF"/>
        </w:rPr>
        <w:t>de representación plena?</w:t>
      </w:r>
      <w:r w:rsidR="00C02EF1" w:rsidRPr="00EE25D1">
        <w:rPr>
          <w:rFonts w:ascii="Calibri" w:hAnsi="Calibri"/>
          <w:color w:val="000000" w:themeColor="text1"/>
          <w:shd w:val="clear" w:color="auto" w:fill="FFFFFF"/>
        </w:rPr>
        <w:t xml:space="preserve"> 4.1.1.</w:t>
      </w:r>
      <w:r w:rsidR="00E25D21" w:rsidRPr="00EE25D1">
        <w:rPr>
          <w:rFonts w:ascii="Calibri" w:hAnsi="Calibri"/>
          <w:color w:val="000000" w:themeColor="text1"/>
          <w:shd w:val="clear" w:color="auto" w:fill="FFFFFF"/>
        </w:rPr>
        <w:t xml:space="preserve"> El apoyo representativo en cuanto a su extensión. </w:t>
      </w:r>
      <w:r w:rsidR="00C02EF1" w:rsidRPr="00EE25D1">
        <w:rPr>
          <w:rFonts w:ascii="Calibri" w:hAnsi="Calibri"/>
        </w:rPr>
        <w:t>4.1.2.</w:t>
      </w:r>
      <w:r w:rsidR="00E25D21" w:rsidRPr="00EE25D1">
        <w:rPr>
          <w:rFonts w:ascii="Calibri" w:hAnsi="Calibri"/>
        </w:rPr>
        <w:t xml:space="preserve"> El apoyo representati</w:t>
      </w:r>
      <w:r w:rsidR="00C02EF1" w:rsidRPr="00EE25D1">
        <w:rPr>
          <w:rFonts w:ascii="Calibri" w:hAnsi="Calibri"/>
        </w:rPr>
        <w:t>vo en cuanto a su intensidad. 4.1.3.</w:t>
      </w:r>
      <w:r w:rsidR="00E25D21" w:rsidRPr="00EE25D1">
        <w:rPr>
          <w:rFonts w:ascii="Calibri" w:hAnsi="Calibri"/>
        </w:rPr>
        <w:t xml:space="preserve"> Conclusiones. </w:t>
      </w:r>
      <w:r w:rsidR="006C153F" w:rsidRPr="00EE25D1">
        <w:rPr>
          <w:rFonts w:ascii="Calibri" w:hAnsi="Calibri"/>
        </w:rPr>
        <w:t>4.2</w:t>
      </w:r>
      <w:r w:rsidR="001B5BED" w:rsidRPr="00EE25D1">
        <w:rPr>
          <w:rFonts w:ascii="Calibri" w:hAnsi="Calibri"/>
        </w:rPr>
        <w:t xml:space="preserve"> </w:t>
      </w:r>
      <w:r w:rsidR="001B5BED" w:rsidRPr="00EE25D1">
        <w:rPr>
          <w:rFonts w:ascii="Calibri" w:hAnsi="Calibri"/>
          <w:i/>
        </w:rPr>
        <w:t>¿Los artículos</w:t>
      </w:r>
      <w:r w:rsidR="00E70CE2" w:rsidRPr="00EE25D1">
        <w:rPr>
          <w:rFonts w:ascii="Calibri" w:hAnsi="Calibri"/>
          <w:i/>
        </w:rPr>
        <w:t xml:space="preserve"> 1387 y 1393.1º del Código Civil </w:t>
      </w:r>
      <w:r w:rsidR="00E25D21" w:rsidRPr="00EE25D1">
        <w:rPr>
          <w:rFonts w:ascii="Calibri" w:hAnsi="Calibri"/>
          <w:i/>
        </w:rPr>
        <w:t>excluyen del supuesto de hecho la provisión de apoyo con facultades de representación a través de una guarda de hecho?</w:t>
      </w:r>
      <w:r w:rsidR="007E5D8F" w:rsidRPr="00EE25D1">
        <w:rPr>
          <w:rFonts w:ascii="Calibri" w:hAnsi="Calibri"/>
        </w:rPr>
        <w:t xml:space="preserve"> </w:t>
      </w:r>
      <w:r w:rsidR="00A54F66" w:rsidRPr="00EE25D1">
        <w:rPr>
          <w:rFonts w:ascii="Calibri" w:hAnsi="Calibri"/>
          <w:smallCaps/>
        </w:rPr>
        <w:t>Bibliografía</w:t>
      </w:r>
      <w:r w:rsidR="00E70CE2" w:rsidRPr="00EE25D1">
        <w:rPr>
          <w:rFonts w:ascii="Calibri" w:hAnsi="Calibri"/>
        </w:rPr>
        <w:t>.</w:t>
      </w:r>
    </w:p>
    <w:p w:rsidR="005D3BD4" w:rsidRPr="00EE25D1" w:rsidRDefault="00C02EF1" w:rsidP="00D44BF1">
      <w:pPr>
        <w:tabs>
          <w:tab w:val="left" w:pos="6080"/>
        </w:tabs>
        <w:spacing w:before="100" w:beforeAutospacing="1" w:after="100" w:afterAutospacing="1"/>
        <w:rPr>
          <w:rFonts w:ascii="Calibri" w:hAnsi="Calibri"/>
          <w:b/>
          <w:smallCaps/>
        </w:rPr>
      </w:pPr>
      <w:r w:rsidRPr="00EE25D1">
        <w:rPr>
          <w:rFonts w:ascii="Calibri" w:hAnsi="Calibri"/>
          <w:b/>
          <w:smallCaps/>
        </w:rPr>
        <w:t>1</w:t>
      </w:r>
      <w:r w:rsidR="005D3BD4" w:rsidRPr="00EE25D1">
        <w:rPr>
          <w:rFonts w:ascii="Calibri" w:hAnsi="Calibri"/>
          <w:b/>
          <w:smallCaps/>
        </w:rPr>
        <w:t xml:space="preserve">. </w:t>
      </w:r>
      <w:r w:rsidR="00793644" w:rsidRPr="00EE25D1">
        <w:rPr>
          <w:rFonts w:ascii="Calibri" w:hAnsi="Calibri"/>
          <w:b/>
          <w:smallCaps/>
        </w:rPr>
        <w:t>I</w:t>
      </w:r>
      <w:r w:rsidR="003B446E" w:rsidRPr="00EE25D1">
        <w:rPr>
          <w:rFonts w:ascii="Calibri" w:hAnsi="Calibri"/>
          <w:b/>
          <w:smallCaps/>
        </w:rPr>
        <w:t>ntroducción</w:t>
      </w:r>
      <w:r w:rsidR="0037190C" w:rsidRPr="00EE25D1">
        <w:rPr>
          <w:rFonts w:ascii="Calibri" w:hAnsi="Calibri"/>
          <w:b/>
          <w:smallCaps/>
        </w:rPr>
        <w:t xml:space="preserve">    </w:t>
      </w:r>
    </w:p>
    <w:p w:rsidR="00D03276" w:rsidRPr="00EE25D1" w:rsidRDefault="00EB4D56" w:rsidP="00D44BF1">
      <w:pPr>
        <w:tabs>
          <w:tab w:val="left" w:pos="6080"/>
        </w:tabs>
        <w:spacing w:before="100" w:beforeAutospacing="1" w:after="100" w:afterAutospacing="1"/>
        <w:rPr>
          <w:rFonts w:ascii="Calibri" w:hAnsi="Calibri"/>
          <w:b/>
        </w:rPr>
      </w:pPr>
      <w:r w:rsidRPr="00EE25D1">
        <w:rPr>
          <w:rFonts w:ascii="Calibri" w:hAnsi="Calibri"/>
        </w:rPr>
        <w:t>La Ley 8/2021, de 8 de junio, por la que se reforma la legislación civil y procesal para el apoyo a las personas con discapacidad en el ejercicio de su capacidad jurídica (</w:t>
      </w:r>
      <w:r w:rsidR="00C71F23" w:rsidRPr="00EE25D1">
        <w:rPr>
          <w:rFonts w:ascii="Calibri" w:hAnsi="Calibri"/>
        </w:rPr>
        <w:t xml:space="preserve">en adelante, </w:t>
      </w:r>
      <w:r w:rsidRPr="00EE25D1">
        <w:rPr>
          <w:rFonts w:ascii="Calibri" w:hAnsi="Calibri"/>
        </w:rPr>
        <w:t xml:space="preserve">LAPCD), representa, sin ambages, una de las reformas de mayor calado que ha experimentado el Código Civil desde su publicación en el </w:t>
      </w:r>
      <w:r w:rsidR="00DD0132" w:rsidRPr="00EE25D1">
        <w:rPr>
          <w:rFonts w:ascii="Calibri" w:hAnsi="Calibri"/>
        </w:rPr>
        <w:t>siglo XIX</w:t>
      </w:r>
      <w:r w:rsidRPr="00EE25D1">
        <w:rPr>
          <w:rFonts w:ascii="Calibri" w:hAnsi="Calibri"/>
        </w:rPr>
        <w:t>. La LAPCD se inserta en el proceso de adaptación del ordenamiento patrio a los postulados de la Convención Internacional de las Naciones Unidas sobre los derechos de las personas con discapacidad, aprobada en Nueva York en 2006</w:t>
      </w:r>
      <w:r w:rsidR="00AC2D94" w:rsidRPr="00EE25D1">
        <w:rPr>
          <w:rFonts w:ascii="Calibri" w:hAnsi="Calibri"/>
        </w:rPr>
        <w:t xml:space="preserve"> (</w:t>
      </w:r>
      <w:r w:rsidR="003626C5" w:rsidRPr="00EE25D1">
        <w:rPr>
          <w:rFonts w:ascii="Calibri" w:hAnsi="Calibri"/>
        </w:rPr>
        <w:t xml:space="preserve">en adelante, </w:t>
      </w:r>
      <w:r w:rsidR="00AC2D94" w:rsidRPr="00EE25D1">
        <w:rPr>
          <w:rFonts w:ascii="Calibri" w:hAnsi="Calibri"/>
        </w:rPr>
        <w:t>CDPD)</w:t>
      </w:r>
      <w:r w:rsidRPr="00EE25D1">
        <w:rPr>
          <w:rFonts w:ascii="Calibri" w:hAnsi="Calibri"/>
        </w:rPr>
        <w:t>. Aquí no</w:t>
      </w:r>
      <w:r w:rsidR="00AC2D94" w:rsidRPr="00EE25D1">
        <w:rPr>
          <w:rFonts w:ascii="Calibri" w:hAnsi="Calibri"/>
        </w:rPr>
        <w:t xml:space="preserve"> vamos a detenernos</w:t>
      </w:r>
      <w:r w:rsidRPr="00EE25D1">
        <w:rPr>
          <w:rFonts w:ascii="Calibri" w:hAnsi="Calibri"/>
        </w:rPr>
        <w:t xml:space="preserve">, </w:t>
      </w:r>
      <w:r w:rsidRPr="00EE25D1">
        <w:rPr>
          <w:rFonts w:ascii="Calibri" w:hAnsi="Calibri"/>
          <w:i/>
        </w:rPr>
        <w:t>in abstracto</w:t>
      </w:r>
      <w:r w:rsidRPr="00EE25D1">
        <w:rPr>
          <w:rFonts w:ascii="Calibri" w:hAnsi="Calibri"/>
        </w:rPr>
        <w:t xml:space="preserve">, en las </w:t>
      </w:r>
      <w:r w:rsidR="008C5EC9" w:rsidRPr="00EE25D1">
        <w:rPr>
          <w:rFonts w:ascii="Calibri" w:hAnsi="Calibri"/>
        </w:rPr>
        <w:t>bondades del texto internacional, empresa de la</w:t>
      </w:r>
      <w:r w:rsidR="00C04CCC" w:rsidRPr="00EE25D1">
        <w:rPr>
          <w:rFonts w:ascii="Calibri" w:hAnsi="Calibri"/>
        </w:rPr>
        <w:t xml:space="preserve"> que ya se han encargado otros trabajos</w:t>
      </w:r>
      <w:r w:rsidR="008C5EC9" w:rsidRPr="00EE25D1">
        <w:rPr>
          <w:rFonts w:ascii="Calibri" w:hAnsi="Calibri"/>
        </w:rPr>
        <w:t xml:space="preserve">. Focalizaremos nuestro estudio en el nuevo escenario que plantea la LAPCD en las instituciones de Derecho de familia, partiendo, entre otros, del </w:t>
      </w:r>
      <w:r w:rsidR="0037190C" w:rsidRPr="00EE25D1">
        <w:rPr>
          <w:rFonts w:ascii="Calibri" w:hAnsi="Calibri"/>
        </w:rPr>
        <w:t>artículo</w:t>
      </w:r>
      <w:r w:rsidR="0037190C" w:rsidRPr="00EE25D1">
        <w:rPr>
          <w:rFonts w:ascii="Calibri" w:hAnsi="Calibri"/>
          <w:b/>
        </w:rPr>
        <w:t xml:space="preserve"> </w:t>
      </w:r>
      <w:r w:rsidR="008C5EC9" w:rsidRPr="00EE25D1">
        <w:rPr>
          <w:rFonts w:ascii="Calibri" w:hAnsi="Calibri"/>
        </w:rPr>
        <w:t>23 CDPD</w:t>
      </w:r>
      <w:r w:rsidR="00B66DBB" w:rsidRPr="00EE25D1">
        <w:rPr>
          <w:rStyle w:val="Refdenotaalpie"/>
          <w:rFonts w:ascii="Calibri" w:hAnsi="Calibri"/>
        </w:rPr>
        <w:footnoteReference w:id="1"/>
      </w:r>
      <w:r w:rsidR="0037190C" w:rsidRPr="00EE25D1">
        <w:rPr>
          <w:rFonts w:ascii="Calibri" w:hAnsi="Calibri"/>
        </w:rPr>
        <w:t>, de continua referencia a lo l</w:t>
      </w:r>
      <w:r w:rsidR="008C5EC9" w:rsidRPr="00EE25D1">
        <w:rPr>
          <w:rFonts w:ascii="Calibri" w:hAnsi="Calibri"/>
        </w:rPr>
        <w:t xml:space="preserve">argo de este estudio. </w:t>
      </w:r>
    </w:p>
    <w:p w:rsidR="00C04CCC" w:rsidRPr="00EE25D1" w:rsidRDefault="005D3BD4" w:rsidP="00D44BF1">
      <w:pPr>
        <w:tabs>
          <w:tab w:val="left" w:pos="6080"/>
        </w:tabs>
        <w:spacing w:before="100" w:beforeAutospacing="1" w:after="100" w:afterAutospacing="1"/>
        <w:rPr>
          <w:rFonts w:ascii="Calibri" w:hAnsi="Calibri"/>
        </w:rPr>
      </w:pPr>
      <w:r w:rsidRPr="00EE25D1">
        <w:rPr>
          <w:rFonts w:ascii="Calibri" w:hAnsi="Calibri"/>
        </w:rPr>
        <w:t>El esqu</w:t>
      </w:r>
      <w:r w:rsidR="00C04CCC" w:rsidRPr="00EE25D1">
        <w:rPr>
          <w:rFonts w:ascii="Calibri" w:hAnsi="Calibri"/>
        </w:rPr>
        <w:t>ema de trabajo que jalonará esta investigación</w:t>
      </w:r>
      <w:r w:rsidRPr="00EE25D1">
        <w:rPr>
          <w:rFonts w:ascii="Calibri" w:hAnsi="Calibri"/>
        </w:rPr>
        <w:t xml:space="preserve"> se puede desdoblar en</w:t>
      </w:r>
      <w:r w:rsidR="00C04CCC" w:rsidRPr="00EE25D1">
        <w:rPr>
          <w:rFonts w:ascii="Calibri" w:hAnsi="Calibri"/>
        </w:rPr>
        <w:t xml:space="preserve"> tres</w:t>
      </w:r>
      <w:r w:rsidR="00743D14" w:rsidRPr="00EE25D1">
        <w:rPr>
          <w:rFonts w:ascii="Calibri" w:hAnsi="Calibri"/>
        </w:rPr>
        <w:t xml:space="preserve"> grandes bloques: e</w:t>
      </w:r>
      <w:r w:rsidR="002736F5" w:rsidRPr="00EE25D1">
        <w:rPr>
          <w:rFonts w:ascii="Calibri" w:hAnsi="Calibri"/>
        </w:rPr>
        <w:t xml:space="preserve">n el primero estudiaremos la capacidad </w:t>
      </w:r>
      <w:r w:rsidRPr="00EE25D1">
        <w:rPr>
          <w:rFonts w:ascii="Calibri" w:hAnsi="Calibri"/>
        </w:rPr>
        <w:t>para contraer matrimonio, seg</w:t>
      </w:r>
      <w:r w:rsidR="0037190C" w:rsidRPr="00EE25D1">
        <w:rPr>
          <w:rFonts w:ascii="Calibri" w:hAnsi="Calibri"/>
        </w:rPr>
        <w:t>ún la redacción del artículo</w:t>
      </w:r>
      <w:r w:rsidR="00C71F23" w:rsidRPr="00EE25D1">
        <w:rPr>
          <w:rFonts w:ascii="Calibri" w:hAnsi="Calibri"/>
        </w:rPr>
        <w:t xml:space="preserve"> 56 del Código Civil.</w:t>
      </w:r>
      <w:r w:rsidR="00C04CCC" w:rsidRPr="00EE25D1">
        <w:rPr>
          <w:rFonts w:ascii="Calibri" w:hAnsi="Calibri"/>
        </w:rPr>
        <w:t xml:space="preserve"> Luego, en el segundo bloque, analizaremos </w:t>
      </w:r>
      <w:r w:rsidRPr="00EE25D1">
        <w:rPr>
          <w:rFonts w:ascii="Calibri" w:hAnsi="Calibri"/>
        </w:rPr>
        <w:t xml:space="preserve">la capacidad </w:t>
      </w:r>
      <w:r w:rsidR="00AC2D94" w:rsidRPr="00EE25D1">
        <w:rPr>
          <w:rFonts w:ascii="Calibri" w:hAnsi="Calibri"/>
        </w:rPr>
        <w:t>para</w:t>
      </w:r>
      <w:r w:rsidR="00743D14" w:rsidRPr="00EE25D1">
        <w:rPr>
          <w:rFonts w:ascii="Calibri" w:hAnsi="Calibri"/>
        </w:rPr>
        <w:t xml:space="preserve"> el</w:t>
      </w:r>
      <w:r w:rsidR="002736F5" w:rsidRPr="00EE25D1">
        <w:rPr>
          <w:rFonts w:ascii="Calibri" w:hAnsi="Calibri"/>
        </w:rPr>
        <w:t xml:space="preserve"> otorgamiento de las</w:t>
      </w:r>
      <w:r w:rsidR="00C04CCC" w:rsidRPr="00EE25D1">
        <w:rPr>
          <w:rFonts w:ascii="Calibri" w:hAnsi="Calibri"/>
        </w:rPr>
        <w:t xml:space="preserve"> capitulaciones matrimoniales. Finalm</w:t>
      </w:r>
      <w:r w:rsidR="005051BC" w:rsidRPr="00EE25D1">
        <w:rPr>
          <w:rFonts w:ascii="Calibri" w:hAnsi="Calibri"/>
        </w:rPr>
        <w:t>ente, nos centramos en los artículos</w:t>
      </w:r>
      <w:r w:rsidR="00C04CCC" w:rsidRPr="00EE25D1">
        <w:rPr>
          <w:rFonts w:ascii="Calibri" w:hAnsi="Calibri"/>
        </w:rPr>
        <w:t xml:space="preserve"> 1387 y 1393.1º </w:t>
      </w:r>
      <w:r w:rsidR="00C71F23" w:rsidRPr="00EE25D1">
        <w:rPr>
          <w:rFonts w:ascii="Calibri" w:hAnsi="Calibri"/>
        </w:rPr>
        <w:t>del Código Civil</w:t>
      </w:r>
      <w:r w:rsidR="00C04CCC" w:rsidRPr="00EE25D1">
        <w:rPr>
          <w:rFonts w:ascii="Calibri" w:hAnsi="Calibri"/>
        </w:rPr>
        <w:t xml:space="preserve">, que entroniza con la arquitectura de la gestión y disposición de la sociedad de gananciales. </w:t>
      </w:r>
    </w:p>
    <w:p w:rsidR="00C53ACF" w:rsidRPr="00EE25D1" w:rsidRDefault="00C02EF1" w:rsidP="00D44BF1">
      <w:pPr>
        <w:tabs>
          <w:tab w:val="left" w:pos="6080"/>
        </w:tabs>
        <w:spacing w:before="100" w:beforeAutospacing="1" w:after="100" w:afterAutospacing="1"/>
        <w:rPr>
          <w:rFonts w:ascii="Calibri" w:hAnsi="Calibri"/>
          <w:b/>
          <w:smallCaps/>
        </w:rPr>
      </w:pPr>
      <w:r w:rsidRPr="00EE25D1">
        <w:rPr>
          <w:rFonts w:ascii="Calibri" w:hAnsi="Calibri"/>
          <w:b/>
          <w:smallCaps/>
        </w:rPr>
        <w:t>2</w:t>
      </w:r>
      <w:r w:rsidR="00C53ACF" w:rsidRPr="00EE25D1">
        <w:rPr>
          <w:rFonts w:ascii="Calibri" w:hAnsi="Calibri"/>
          <w:b/>
          <w:smallCaps/>
        </w:rPr>
        <w:t xml:space="preserve">. </w:t>
      </w:r>
      <w:r w:rsidR="0074451A" w:rsidRPr="00EE25D1">
        <w:rPr>
          <w:rFonts w:ascii="Calibri" w:hAnsi="Calibri"/>
          <w:b/>
          <w:smallCaps/>
        </w:rPr>
        <w:t>C</w:t>
      </w:r>
      <w:r w:rsidR="003B446E" w:rsidRPr="00EE25D1">
        <w:rPr>
          <w:rFonts w:ascii="Calibri" w:hAnsi="Calibri"/>
          <w:b/>
          <w:smallCaps/>
        </w:rPr>
        <w:t>apacidad para contraer matrimonio</w:t>
      </w:r>
    </w:p>
    <w:p w:rsidR="00953C5C" w:rsidRPr="00EE25D1" w:rsidRDefault="00AC2D94" w:rsidP="00D44BF1">
      <w:pPr>
        <w:tabs>
          <w:tab w:val="left" w:pos="6080"/>
        </w:tabs>
        <w:spacing w:before="100" w:beforeAutospacing="1" w:after="100" w:afterAutospacing="1"/>
        <w:rPr>
          <w:rFonts w:ascii="Calibri" w:hAnsi="Calibri"/>
        </w:rPr>
      </w:pPr>
      <w:r w:rsidRPr="00EE25D1">
        <w:rPr>
          <w:rFonts w:ascii="Calibri" w:hAnsi="Calibri"/>
        </w:rPr>
        <w:t>Aunque</w:t>
      </w:r>
      <w:r w:rsidR="00953C5C" w:rsidRPr="00EE25D1">
        <w:rPr>
          <w:rFonts w:ascii="Calibri" w:hAnsi="Calibri"/>
        </w:rPr>
        <w:t xml:space="preserve"> el segundo párrafo </w:t>
      </w:r>
      <w:r w:rsidR="00C71F23" w:rsidRPr="00EE25D1">
        <w:rPr>
          <w:rFonts w:ascii="Calibri" w:hAnsi="Calibri"/>
        </w:rPr>
        <w:t xml:space="preserve">del </w:t>
      </w:r>
      <w:r w:rsidR="0037190C" w:rsidRPr="00EE25D1">
        <w:rPr>
          <w:rFonts w:ascii="Calibri" w:hAnsi="Calibri"/>
        </w:rPr>
        <w:t>artículo</w:t>
      </w:r>
      <w:r w:rsidR="00C71F23" w:rsidRPr="00EE25D1">
        <w:rPr>
          <w:rFonts w:ascii="Calibri" w:hAnsi="Calibri"/>
        </w:rPr>
        <w:t xml:space="preserve"> 56 del Código Civil</w:t>
      </w:r>
      <w:r w:rsidR="00953C5C" w:rsidRPr="00EE25D1">
        <w:rPr>
          <w:rFonts w:ascii="Calibri" w:hAnsi="Calibri"/>
        </w:rPr>
        <w:t xml:space="preserve"> no fue</w:t>
      </w:r>
      <w:r w:rsidRPr="00EE25D1">
        <w:rPr>
          <w:rFonts w:ascii="Calibri" w:hAnsi="Calibri"/>
        </w:rPr>
        <w:t>ra</w:t>
      </w:r>
      <w:r w:rsidR="00953C5C" w:rsidRPr="00EE25D1">
        <w:rPr>
          <w:rFonts w:ascii="Calibri" w:hAnsi="Calibri"/>
        </w:rPr>
        <w:t xml:space="preserve"> reformado</w:t>
      </w:r>
      <w:r w:rsidR="00966A49" w:rsidRPr="00EE25D1">
        <w:rPr>
          <w:rFonts w:ascii="Calibri" w:hAnsi="Calibri"/>
        </w:rPr>
        <w:t xml:space="preserve"> por la</w:t>
      </w:r>
      <w:r w:rsidR="00953C5C" w:rsidRPr="00EE25D1">
        <w:rPr>
          <w:rFonts w:ascii="Calibri" w:hAnsi="Calibri"/>
        </w:rPr>
        <w:t xml:space="preserve"> </w:t>
      </w:r>
      <w:r w:rsidRPr="00EE25D1">
        <w:rPr>
          <w:rFonts w:ascii="Calibri" w:hAnsi="Calibri"/>
        </w:rPr>
        <w:t>LAPCD,</w:t>
      </w:r>
      <w:r w:rsidR="00953C5C" w:rsidRPr="00EE25D1">
        <w:rPr>
          <w:rFonts w:ascii="Calibri" w:hAnsi="Calibri"/>
        </w:rPr>
        <w:t xml:space="preserve"> consideramos </w:t>
      </w:r>
      <w:r w:rsidR="001D3897" w:rsidRPr="00EE25D1">
        <w:rPr>
          <w:rFonts w:ascii="Calibri" w:hAnsi="Calibri"/>
        </w:rPr>
        <w:t xml:space="preserve">de notable utilidad para </w:t>
      </w:r>
      <w:r w:rsidR="00A745BA" w:rsidRPr="00EE25D1">
        <w:rPr>
          <w:rFonts w:ascii="Calibri" w:hAnsi="Calibri"/>
        </w:rPr>
        <w:t>este estudio</w:t>
      </w:r>
      <w:r w:rsidR="00743D14" w:rsidRPr="00EE25D1">
        <w:rPr>
          <w:rFonts w:ascii="Calibri" w:hAnsi="Calibri"/>
        </w:rPr>
        <w:t xml:space="preserve"> analizar la capacidad para</w:t>
      </w:r>
      <w:r w:rsidR="00953C5C" w:rsidRPr="00EE25D1">
        <w:rPr>
          <w:rFonts w:ascii="Calibri" w:hAnsi="Calibri"/>
        </w:rPr>
        <w:t xml:space="preserve"> contraer matrimonio, al </w:t>
      </w:r>
      <w:r w:rsidR="00DD0132" w:rsidRPr="00EE25D1">
        <w:rPr>
          <w:rFonts w:ascii="Calibri" w:hAnsi="Calibri"/>
        </w:rPr>
        <w:t xml:space="preserve">amparo </w:t>
      </w:r>
      <w:r w:rsidR="00953C5C" w:rsidRPr="00EE25D1">
        <w:rPr>
          <w:rFonts w:ascii="Calibri" w:hAnsi="Calibri"/>
        </w:rPr>
        <w:t xml:space="preserve">de que la actual redacción del citado precepto tiene su antecedente en la </w:t>
      </w:r>
      <w:r w:rsidR="00743D14" w:rsidRPr="00EE25D1">
        <w:rPr>
          <w:rFonts w:ascii="Calibri" w:hAnsi="Calibri"/>
        </w:rPr>
        <w:t>CDPD.</w:t>
      </w:r>
      <w:r w:rsidR="00953C5C" w:rsidRPr="00EE25D1">
        <w:rPr>
          <w:rFonts w:ascii="Calibri" w:hAnsi="Calibri"/>
        </w:rPr>
        <w:t xml:space="preserve"> </w:t>
      </w:r>
    </w:p>
    <w:p w:rsidR="00603B38" w:rsidRPr="00EE25D1" w:rsidRDefault="00C02EF1" w:rsidP="00D44BF1">
      <w:pPr>
        <w:tabs>
          <w:tab w:val="left" w:pos="6080"/>
        </w:tabs>
        <w:spacing w:before="100" w:beforeAutospacing="1" w:after="100" w:afterAutospacing="1"/>
        <w:rPr>
          <w:rFonts w:ascii="Calibri" w:hAnsi="Calibri"/>
          <w:b/>
          <w:i/>
        </w:rPr>
      </w:pPr>
      <w:r w:rsidRPr="00EE25D1">
        <w:rPr>
          <w:rFonts w:ascii="Calibri" w:hAnsi="Calibri"/>
          <w:b/>
          <w:i/>
        </w:rPr>
        <w:t>2.</w:t>
      </w:r>
      <w:r w:rsidR="00603B38" w:rsidRPr="00EE25D1">
        <w:rPr>
          <w:rFonts w:ascii="Calibri" w:hAnsi="Calibri"/>
          <w:b/>
          <w:i/>
        </w:rPr>
        <w:t>1.</w:t>
      </w:r>
      <w:r w:rsidR="00AE45C5" w:rsidRPr="00EE25D1">
        <w:rPr>
          <w:rFonts w:ascii="Calibri" w:hAnsi="Calibri"/>
          <w:b/>
          <w:i/>
        </w:rPr>
        <w:t xml:space="preserve"> </w:t>
      </w:r>
      <w:r w:rsidR="00603B38" w:rsidRPr="00EE25D1">
        <w:rPr>
          <w:rFonts w:ascii="Calibri" w:hAnsi="Calibri"/>
          <w:b/>
          <w:i/>
        </w:rPr>
        <w:t>Antecedentes</w:t>
      </w:r>
      <w:r w:rsidR="00D86AB8" w:rsidRPr="00EE25D1">
        <w:rPr>
          <w:rFonts w:ascii="Calibri" w:hAnsi="Calibri"/>
          <w:b/>
          <w:i/>
        </w:rPr>
        <w:t xml:space="preserve"> legislativos</w:t>
      </w:r>
    </w:p>
    <w:p w:rsidR="00820E59" w:rsidRPr="00EE25D1" w:rsidRDefault="00AE45C5" w:rsidP="00D44BF1">
      <w:pPr>
        <w:tabs>
          <w:tab w:val="left" w:pos="6080"/>
        </w:tabs>
        <w:spacing w:before="100" w:beforeAutospacing="1" w:after="100" w:afterAutospacing="1"/>
        <w:rPr>
          <w:rFonts w:ascii="Calibri" w:hAnsi="Calibri"/>
        </w:rPr>
      </w:pPr>
      <w:r w:rsidRPr="00EE25D1">
        <w:rPr>
          <w:rFonts w:ascii="Calibri" w:hAnsi="Calibri"/>
        </w:rPr>
        <w:t>A título de exordio, cabe destacar que, con independencia de la naturaleza jurídica del matrimonio</w:t>
      </w:r>
      <w:r w:rsidR="00931D3D" w:rsidRPr="00EE25D1">
        <w:rPr>
          <w:rStyle w:val="Refdenotaalpie"/>
          <w:rFonts w:ascii="Calibri" w:hAnsi="Calibri"/>
        </w:rPr>
        <w:footnoteReference w:id="2"/>
      </w:r>
      <w:r w:rsidRPr="00EE25D1">
        <w:rPr>
          <w:rFonts w:ascii="Calibri" w:hAnsi="Calibri"/>
        </w:rPr>
        <w:t xml:space="preserve">, es requisito </w:t>
      </w:r>
      <w:r w:rsidRPr="00EE25D1">
        <w:rPr>
          <w:rFonts w:ascii="Calibri" w:hAnsi="Calibri"/>
          <w:i/>
        </w:rPr>
        <w:t>sine qua non</w:t>
      </w:r>
      <w:r w:rsidRPr="00EE25D1">
        <w:rPr>
          <w:rFonts w:ascii="Calibri" w:hAnsi="Calibri"/>
        </w:rPr>
        <w:t xml:space="preserve"> del mismo el consentimiento matrim</w:t>
      </w:r>
      <w:r w:rsidR="00B17D8D" w:rsidRPr="00EE25D1">
        <w:rPr>
          <w:rFonts w:ascii="Calibri" w:hAnsi="Calibri"/>
        </w:rPr>
        <w:t xml:space="preserve">onial. </w:t>
      </w:r>
      <w:r w:rsidR="006D7919" w:rsidRPr="00EE25D1">
        <w:rPr>
          <w:rFonts w:ascii="Calibri" w:hAnsi="Calibri"/>
        </w:rPr>
        <w:t>La exigencia del consentimiento, curiosamente,</w:t>
      </w:r>
      <w:r w:rsidR="00743D14" w:rsidRPr="00EE25D1">
        <w:rPr>
          <w:rFonts w:ascii="Calibri" w:hAnsi="Calibri"/>
        </w:rPr>
        <w:t xml:space="preserve"> no estaba cristalizada </w:t>
      </w:r>
      <w:r w:rsidRPr="00EE25D1">
        <w:rPr>
          <w:rFonts w:ascii="Calibri" w:hAnsi="Calibri"/>
          <w:i/>
        </w:rPr>
        <w:t>ex profeso</w:t>
      </w:r>
      <w:r w:rsidR="00C624ED" w:rsidRPr="00EE25D1">
        <w:rPr>
          <w:rFonts w:ascii="Calibri" w:hAnsi="Calibri"/>
        </w:rPr>
        <w:t xml:space="preserve"> en el Código Civil según la redacción original</w:t>
      </w:r>
      <w:r w:rsidRPr="00EE25D1">
        <w:rPr>
          <w:rFonts w:ascii="Calibri" w:hAnsi="Calibri"/>
        </w:rPr>
        <w:t xml:space="preserve"> dada por el Real Decreto de</w:t>
      </w:r>
      <w:r w:rsidR="00C624ED" w:rsidRPr="00EE25D1">
        <w:rPr>
          <w:rFonts w:ascii="Calibri" w:hAnsi="Calibri"/>
        </w:rPr>
        <w:t xml:space="preserve"> 24 de julio de 1889, pudié</w:t>
      </w:r>
      <w:r w:rsidRPr="00EE25D1">
        <w:rPr>
          <w:rFonts w:ascii="Calibri" w:hAnsi="Calibri"/>
        </w:rPr>
        <w:t>ndo</w:t>
      </w:r>
      <w:r w:rsidR="00C624ED" w:rsidRPr="00EE25D1">
        <w:rPr>
          <w:rFonts w:ascii="Calibri" w:hAnsi="Calibri"/>
        </w:rPr>
        <w:t>se</w:t>
      </w:r>
      <w:r w:rsidRPr="00EE25D1">
        <w:rPr>
          <w:rFonts w:ascii="Calibri" w:hAnsi="Calibri"/>
        </w:rPr>
        <w:t xml:space="preserve"> inferir, </w:t>
      </w:r>
      <w:r w:rsidR="006D7919" w:rsidRPr="00EE25D1">
        <w:rPr>
          <w:rFonts w:ascii="Calibri" w:hAnsi="Calibri"/>
        </w:rPr>
        <w:t>no obstante</w:t>
      </w:r>
      <w:r w:rsidRPr="00EE25D1">
        <w:rPr>
          <w:rFonts w:ascii="Calibri" w:hAnsi="Calibri"/>
        </w:rPr>
        <w:t xml:space="preserve">, de las causas de nulidad matrimonial, que, a la sazón, </w:t>
      </w:r>
      <w:r w:rsidR="00743D14" w:rsidRPr="00EE25D1">
        <w:rPr>
          <w:rFonts w:ascii="Calibri" w:hAnsi="Calibri"/>
        </w:rPr>
        <w:t>reputaba</w:t>
      </w:r>
      <w:r w:rsidRPr="00EE25D1">
        <w:rPr>
          <w:rFonts w:ascii="Calibri" w:hAnsi="Calibri"/>
        </w:rPr>
        <w:t xml:space="preserve"> nulo el matrimonio contraído </w:t>
      </w:r>
      <w:r w:rsidR="006167F6" w:rsidRPr="00EE25D1">
        <w:rPr>
          <w:rFonts w:ascii="Calibri" w:hAnsi="Calibri"/>
        </w:rPr>
        <w:t>con</w:t>
      </w:r>
      <w:r w:rsidRPr="00EE25D1">
        <w:rPr>
          <w:rFonts w:ascii="Calibri" w:hAnsi="Calibri"/>
        </w:rPr>
        <w:t xml:space="preserve"> algún vicio del consentimiento</w:t>
      </w:r>
      <w:r w:rsidR="00647B75" w:rsidRPr="00EE25D1">
        <w:rPr>
          <w:rStyle w:val="Refdenotaalpie"/>
          <w:rFonts w:ascii="Calibri" w:hAnsi="Calibri"/>
        </w:rPr>
        <w:footnoteReference w:id="3"/>
      </w:r>
      <w:r w:rsidR="00820E59" w:rsidRPr="00EE25D1">
        <w:rPr>
          <w:rFonts w:ascii="Calibri" w:hAnsi="Calibri"/>
        </w:rPr>
        <w:t xml:space="preserve"> y, sobre todo, del </w:t>
      </w:r>
      <w:r w:rsidR="0037190C" w:rsidRPr="00EE25D1">
        <w:rPr>
          <w:rFonts w:ascii="Calibri" w:hAnsi="Calibri"/>
        </w:rPr>
        <w:t>artículo</w:t>
      </w:r>
      <w:r w:rsidR="00820E59" w:rsidRPr="00EE25D1">
        <w:rPr>
          <w:rFonts w:ascii="Calibri" w:hAnsi="Calibri"/>
        </w:rPr>
        <w:t xml:space="preserve"> 83.2</w:t>
      </w:r>
      <w:r w:rsidR="00C71F23" w:rsidRPr="00EE25D1">
        <w:rPr>
          <w:rFonts w:ascii="Calibri" w:hAnsi="Calibri"/>
        </w:rPr>
        <w:t xml:space="preserve"> del Código Civil</w:t>
      </w:r>
      <w:r w:rsidR="00820E59" w:rsidRPr="00EE25D1">
        <w:rPr>
          <w:rFonts w:ascii="Calibri" w:hAnsi="Calibri"/>
        </w:rPr>
        <w:t xml:space="preserve">, que, como impedimento, disponía que no podían contraer </w:t>
      </w:r>
      <w:r w:rsidR="00743D14" w:rsidRPr="00EE25D1">
        <w:rPr>
          <w:rFonts w:ascii="Calibri" w:hAnsi="Calibri"/>
        </w:rPr>
        <w:t xml:space="preserve">matrimonio </w:t>
      </w:r>
      <w:r w:rsidR="0062436D" w:rsidRPr="00EE25D1">
        <w:rPr>
          <w:rFonts w:ascii="Calibri" w:hAnsi="Calibri"/>
        </w:rPr>
        <w:t>“</w:t>
      </w:r>
      <w:r w:rsidR="00820E59" w:rsidRPr="00EE25D1">
        <w:rPr>
          <w:rFonts w:ascii="Calibri" w:hAnsi="Calibri"/>
        </w:rPr>
        <w:t>los que no estuvieren en el pleno ejercicio de su razón</w:t>
      </w:r>
      <w:r w:rsidR="0062436D" w:rsidRPr="00EE25D1">
        <w:rPr>
          <w:rFonts w:ascii="Calibri" w:hAnsi="Calibri"/>
        </w:rPr>
        <w:t>”</w:t>
      </w:r>
      <w:r w:rsidR="00820E59" w:rsidRPr="00EE25D1">
        <w:rPr>
          <w:rFonts w:ascii="Calibri" w:hAnsi="Calibri"/>
        </w:rPr>
        <w:t xml:space="preserve"> al tiempo de contraerlo.</w:t>
      </w:r>
    </w:p>
    <w:p w:rsidR="00AE45C5" w:rsidRPr="00EE25D1" w:rsidRDefault="00820E59" w:rsidP="00D44BF1">
      <w:pPr>
        <w:tabs>
          <w:tab w:val="left" w:pos="6080"/>
        </w:tabs>
        <w:spacing w:before="100" w:beforeAutospacing="1" w:after="100" w:afterAutospacing="1"/>
        <w:rPr>
          <w:rFonts w:ascii="Calibri" w:hAnsi="Calibri"/>
        </w:rPr>
      </w:pPr>
      <w:r w:rsidRPr="00EE25D1">
        <w:rPr>
          <w:rFonts w:ascii="Calibri" w:hAnsi="Calibri"/>
        </w:rPr>
        <w:t>Po</w:t>
      </w:r>
      <w:r w:rsidR="00C71F23" w:rsidRPr="00EE25D1">
        <w:rPr>
          <w:rFonts w:ascii="Calibri" w:hAnsi="Calibri"/>
        </w:rPr>
        <w:t xml:space="preserve">steriormente a que el </w:t>
      </w:r>
      <w:r w:rsidR="0037190C" w:rsidRPr="00EE25D1">
        <w:rPr>
          <w:rFonts w:ascii="Calibri" w:hAnsi="Calibri"/>
        </w:rPr>
        <w:t>artículo</w:t>
      </w:r>
      <w:r w:rsidR="00C71F23" w:rsidRPr="00EE25D1">
        <w:rPr>
          <w:rFonts w:ascii="Calibri" w:hAnsi="Calibri"/>
        </w:rPr>
        <w:t xml:space="preserve"> 32 de la Constitución española</w:t>
      </w:r>
      <w:r w:rsidRPr="00EE25D1">
        <w:rPr>
          <w:rFonts w:ascii="Calibri" w:hAnsi="Calibri"/>
        </w:rPr>
        <w:t xml:space="preserve"> reconociera el derecho a contraer matrimonio remitiendo al legislador </w:t>
      </w:r>
      <w:r w:rsidR="00C624ED" w:rsidRPr="00EE25D1">
        <w:rPr>
          <w:rFonts w:ascii="Calibri" w:hAnsi="Calibri"/>
        </w:rPr>
        <w:t>ordinario</w:t>
      </w:r>
      <w:r w:rsidR="007C7EFB" w:rsidRPr="00EE25D1">
        <w:rPr>
          <w:rFonts w:ascii="Calibri" w:hAnsi="Calibri"/>
        </w:rPr>
        <w:t xml:space="preserve"> </w:t>
      </w:r>
      <w:r w:rsidRPr="00EE25D1">
        <w:rPr>
          <w:rFonts w:ascii="Calibri" w:hAnsi="Calibri"/>
        </w:rPr>
        <w:t xml:space="preserve">la tarea de regular </w:t>
      </w:r>
      <w:r w:rsidR="00743D14" w:rsidRPr="00EE25D1">
        <w:rPr>
          <w:rFonts w:ascii="Calibri" w:hAnsi="Calibri"/>
        </w:rPr>
        <w:t>las formas de matrimonio, la edad y capacidad para contraerlo, los derechos y deberes de los cónyuges, las causas de separación y disolución y sus efectos</w:t>
      </w:r>
      <w:r w:rsidRPr="00EE25D1">
        <w:rPr>
          <w:rFonts w:ascii="Calibri" w:hAnsi="Calibri"/>
        </w:rPr>
        <w:t>, l</w:t>
      </w:r>
      <w:r w:rsidR="00AE45C5" w:rsidRPr="00EE25D1">
        <w:rPr>
          <w:rFonts w:ascii="Calibri" w:hAnsi="Calibri"/>
        </w:rPr>
        <w:t>a Ley 30/1981, de 7 de</w:t>
      </w:r>
      <w:r w:rsidRPr="00EE25D1">
        <w:rPr>
          <w:rFonts w:ascii="Calibri" w:hAnsi="Calibri"/>
        </w:rPr>
        <w:t xml:space="preserve"> julio, por la que se modifica</w:t>
      </w:r>
      <w:r w:rsidR="00AE45C5" w:rsidRPr="00EE25D1">
        <w:rPr>
          <w:rFonts w:ascii="Calibri" w:hAnsi="Calibri"/>
        </w:rPr>
        <w:t xml:space="preserve"> la regulación del matrimonio en el Código Civil y se determina el procedimiento a seguir en las causas de nuli</w:t>
      </w:r>
      <w:r w:rsidRPr="00EE25D1">
        <w:rPr>
          <w:rFonts w:ascii="Calibri" w:hAnsi="Calibri"/>
        </w:rPr>
        <w:t>dad, separación y divorcio</w:t>
      </w:r>
      <w:r w:rsidR="00E70CE2" w:rsidRPr="00EE25D1">
        <w:rPr>
          <w:rFonts w:ascii="Calibri" w:hAnsi="Calibri"/>
        </w:rPr>
        <w:t xml:space="preserve"> (</w:t>
      </w:r>
      <w:r w:rsidR="00C71F23" w:rsidRPr="00EE25D1">
        <w:rPr>
          <w:rFonts w:ascii="Calibri" w:hAnsi="Calibri"/>
        </w:rPr>
        <w:t xml:space="preserve">en adelante, </w:t>
      </w:r>
      <w:r w:rsidR="00E70CE2" w:rsidRPr="00EE25D1">
        <w:rPr>
          <w:rFonts w:ascii="Calibri" w:hAnsi="Calibri"/>
        </w:rPr>
        <w:t xml:space="preserve">Ley </w:t>
      </w:r>
      <w:r w:rsidR="006D7919" w:rsidRPr="00EE25D1">
        <w:rPr>
          <w:rFonts w:ascii="Calibri" w:hAnsi="Calibri"/>
        </w:rPr>
        <w:t>30/1981)</w:t>
      </w:r>
      <w:r w:rsidRPr="00EE25D1">
        <w:rPr>
          <w:rFonts w:ascii="Calibri" w:hAnsi="Calibri"/>
        </w:rPr>
        <w:t>, dotó</w:t>
      </w:r>
      <w:r w:rsidR="00AE45C5" w:rsidRPr="00EE25D1">
        <w:rPr>
          <w:rFonts w:ascii="Calibri" w:hAnsi="Calibri"/>
        </w:rPr>
        <w:t xml:space="preserve"> al </w:t>
      </w:r>
      <w:r w:rsidR="0037190C" w:rsidRPr="00EE25D1">
        <w:rPr>
          <w:rFonts w:ascii="Calibri" w:hAnsi="Calibri"/>
        </w:rPr>
        <w:t>artículo</w:t>
      </w:r>
      <w:r w:rsidR="00C71F23" w:rsidRPr="00EE25D1">
        <w:rPr>
          <w:rFonts w:ascii="Calibri" w:hAnsi="Calibri"/>
        </w:rPr>
        <w:t xml:space="preserve"> 45 del Código Civil</w:t>
      </w:r>
      <w:r w:rsidR="00AE45C5" w:rsidRPr="00EE25D1">
        <w:rPr>
          <w:rFonts w:ascii="Calibri" w:hAnsi="Calibri"/>
        </w:rPr>
        <w:t xml:space="preserve"> de una nueva dicción, disponiendo, con una fuerza expresiva digna de encomio, que </w:t>
      </w:r>
      <w:r w:rsidR="0062436D" w:rsidRPr="00EE25D1">
        <w:rPr>
          <w:rFonts w:ascii="Calibri" w:hAnsi="Calibri"/>
        </w:rPr>
        <w:t>“</w:t>
      </w:r>
      <w:r w:rsidR="00AE45C5" w:rsidRPr="00EE25D1">
        <w:rPr>
          <w:rFonts w:ascii="Calibri" w:hAnsi="Calibri"/>
        </w:rPr>
        <w:t>No hay matrimonio sin consentimiento matr</w:t>
      </w:r>
      <w:r w:rsidR="003619D2" w:rsidRPr="00EE25D1">
        <w:rPr>
          <w:rFonts w:ascii="Calibri" w:hAnsi="Calibri"/>
        </w:rPr>
        <w:t>imonial</w:t>
      </w:r>
      <w:r w:rsidR="0062436D" w:rsidRPr="00EE25D1">
        <w:rPr>
          <w:rFonts w:ascii="Calibri" w:hAnsi="Calibri"/>
        </w:rPr>
        <w:t>”</w:t>
      </w:r>
      <w:r w:rsidR="003619D2" w:rsidRPr="00EE25D1">
        <w:rPr>
          <w:rFonts w:ascii="Calibri" w:hAnsi="Calibri"/>
        </w:rPr>
        <w:t>. Correlativamente, y toda vez que la declaración de voluntad matrimonial llevaba aparejada la aptitud de poder comprender las vicisitudes del vínculo y sus efectos, el segundo</w:t>
      </w:r>
      <w:r w:rsidR="0020110C" w:rsidRPr="00EE25D1">
        <w:rPr>
          <w:rFonts w:ascii="Calibri" w:hAnsi="Calibri"/>
        </w:rPr>
        <w:t xml:space="preserve"> párrafo del </w:t>
      </w:r>
      <w:r w:rsidR="0037190C" w:rsidRPr="00EE25D1">
        <w:rPr>
          <w:rFonts w:ascii="Calibri" w:hAnsi="Calibri"/>
        </w:rPr>
        <w:t>artículo</w:t>
      </w:r>
      <w:r w:rsidR="00C71F23" w:rsidRPr="00EE25D1">
        <w:rPr>
          <w:rFonts w:ascii="Calibri" w:hAnsi="Calibri"/>
        </w:rPr>
        <w:t xml:space="preserve"> 56 del Código Civil</w:t>
      </w:r>
      <w:r w:rsidR="0020110C" w:rsidRPr="00EE25D1">
        <w:rPr>
          <w:rFonts w:ascii="Calibri" w:hAnsi="Calibri"/>
        </w:rPr>
        <w:t xml:space="preserve"> dispuso</w:t>
      </w:r>
      <w:r w:rsidR="003619D2" w:rsidRPr="00EE25D1">
        <w:rPr>
          <w:rFonts w:ascii="Calibri" w:hAnsi="Calibri"/>
        </w:rPr>
        <w:t xml:space="preserve"> que si algunos de los contrayentes estuviere afectado de deficiencias o anomalías psíquicas, el instructor del expediente matrimonial exigiría un dictamen médico en orden a valorar </w:t>
      </w:r>
      <w:r w:rsidR="0062436D" w:rsidRPr="00EE25D1">
        <w:rPr>
          <w:rFonts w:ascii="Calibri" w:hAnsi="Calibri"/>
        </w:rPr>
        <w:t>“</w:t>
      </w:r>
      <w:r w:rsidR="003619D2" w:rsidRPr="00EE25D1">
        <w:rPr>
          <w:rFonts w:ascii="Calibri" w:hAnsi="Calibri"/>
        </w:rPr>
        <w:t>la aptitud para prestar el consentimiento</w:t>
      </w:r>
      <w:r w:rsidR="00713CC7" w:rsidRPr="00EE25D1">
        <w:rPr>
          <w:rFonts w:ascii="Calibri" w:hAnsi="Calibri"/>
        </w:rPr>
        <w:t>”</w:t>
      </w:r>
      <w:r w:rsidRPr="00EE25D1">
        <w:rPr>
          <w:rStyle w:val="Refdenotaalpie"/>
          <w:rFonts w:ascii="Calibri" w:hAnsi="Calibri"/>
        </w:rPr>
        <w:footnoteReference w:id="4"/>
      </w:r>
      <w:r w:rsidR="003619D2" w:rsidRPr="00EE25D1">
        <w:rPr>
          <w:rFonts w:ascii="Calibri" w:hAnsi="Calibri"/>
        </w:rPr>
        <w:t xml:space="preserve">. </w:t>
      </w:r>
    </w:p>
    <w:p w:rsidR="00647B75" w:rsidRPr="00EE25D1" w:rsidRDefault="00647B75" w:rsidP="00D44BF1">
      <w:pPr>
        <w:spacing w:before="0" w:after="0"/>
        <w:rPr>
          <w:rFonts w:ascii="Calibri" w:hAnsi="Calibri"/>
        </w:rPr>
      </w:pPr>
      <w:r w:rsidRPr="00EE25D1">
        <w:rPr>
          <w:rFonts w:ascii="Calibri" w:hAnsi="Calibri"/>
        </w:rPr>
        <w:t xml:space="preserve">Situándonos en </w:t>
      </w:r>
      <w:r w:rsidR="00743D14" w:rsidRPr="00EE25D1">
        <w:rPr>
          <w:rFonts w:ascii="Calibri" w:hAnsi="Calibri"/>
        </w:rPr>
        <w:t>la actual centuria</w:t>
      </w:r>
      <w:r w:rsidRPr="00EE25D1">
        <w:rPr>
          <w:rFonts w:ascii="Calibri" w:hAnsi="Calibri"/>
        </w:rPr>
        <w:t>, la CDPD, cuyo propósito es proteger y asegurar el goce pleno y en condiciones de igualdad d</w:t>
      </w:r>
      <w:r w:rsidR="00C624ED" w:rsidRPr="00EE25D1">
        <w:rPr>
          <w:rFonts w:ascii="Calibri" w:hAnsi="Calibri"/>
        </w:rPr>
        <w:t>e todos los derechos humanos de</w:t>
      </w:r>
      <w:r w:rsidRPr="00EE25D1">
        <w:rPr>
          <w:rFonts w:ascii="Calibri" w:hAnsi="Calibri"/>
        </w:rPr>
        <w:t xml:space="preserve"> las personas con discapacidad y promover la salvaguarda de su dignidad (</w:t>
      </w:r>
      <w:r w:rsidR="00545FB7" w:rsidRPr="00EE25D1">
        <w:rPr>
          <w:rFonts w:ascii="Calibri" w:hAnsi="Calibri"/>
        </w:rPr>
        <w:t xml:space="preserve">art. </w:t>
      </w:r>
      <w:r w:rsidRPr="00EE25D1">
        <w:rPr>
          <w:rFonts w:ascii="Calibri" w:hAnsi="Calibri"/>
        </w:rPr>
        <w:t>1 CDPD), cristalizó como obligación de los Estados Partes la de tomar medidas</w:t>
      </w:r>
      <w:r w:rsidR="009804FC" w:rsidRPr="00EE25D1">
        <w:rPr>
          <w:rFonts w:ascii="Calibri" w:hAnsi="Calibri"/>
        </w:rPr>
        <w:t xml:space="preserve"> efectivas</w:t>
      </w:r>
      <w:r w:rsidRPr="00EE25D1">
        <w:rPr>
          <w:rFonts w:ascii="Calibri" w:hAnsi="Calibri"/>
        </w:rPr>
        <w:t xml:space="preserve"> y pertinentes para erradicar la discriminación contra las personas con discapacidad en todas las cuestiones relativas al Derecho de familia, entre ellas, el matrimonio, procurándose que estén en igualdad de con</w:t>
      </w:r>
      <w:r w:rsidR="00C624ED" w:rsidRPr="00EE25D1">
        <w:rPr>
          <w:rFonts w:ascii="Calibri" w:hAnsi="Calibri"/>
        </w:rPr>
        <w:t>diciones a fin de asegurar, entre</w:t>
      </w:r>
      <w:r w:rsidRPr="00EE25D1">
        <w:rPr>
          <w:rFonts w:ascii="Calibri" w:hAnsi="Calibri"/>
        </w:rPr>
        <w:t xml:space="preserve"> otros propósitos, el reconocimiento del derecho a </w:t>
      </w:r>
      <w:r w:rsidR="00713CC7" w:rsidRPr="00EE25D1">
        <w:rPr>
          <w:rFonts w:ascii="Calibri" w:hAnsi="Calibri"/>
        </w:rPr>
        <w:t>“</w:t>
      </w:r>
      <w:r w:rsidRPr="00EE25D1">
        <w:rPr>
          <w:rFonts w:ascii="Calibri" w:hAnsi="Calibri"/>
        </w:rPr>
        <w:t>contraer matrimonio, a casarse  y fundar una familia sobre la base del consentimiento libre y</w:t>
      </w:r>
      <w:r w:rsidR="006440A5" w:rsidRPr="00EE25D1">
        <w:rPr>
          <w:rFonts w:ascii="Calibri" w:hAnsi="Calibri"/>
        </w:rPr>
        <w:t xml:space="preserve"> pleno de los futuros cónyuges</w:t>
      </w:r>
      <w:r w:rsidR="00713CC7" w:rsidRPr="00EE25D1">
        <w:rPr>
          <w:rFonts w:ascii="Calibri" w:hAnsi="Calibri"/>
        </w:rPr>
        <w:t>”</w:t>
      </w:r>
      <w:r w:rsidR="006440A5" w:rsidRPr="00EE25D1">
        <w:rPr>
          <w:rFonts w:ascii="Calibri" w:hAnsi="Calibri"/>
        </w:rPr>
        <w:t xml:space="preserve"> (</w:t>
      </w:r>
      <w:r w:rsidR="00545FB7" w:rsidRPr="00EE25D1">
        <w:rPr>
          <w:rFonts w:ascii="Calibri" w:hAnsi="Calibri"/>
        </w:rPr>
        <w:t xml:space="preserve">art. </w:t>
      </w:r>
      <w:r w:rsidR="006440A5" w:rsidRPr="00EE25D1">
        <w:rPr>
          <w:rFonts w:ascii="Calibri" w:hAnsi="Calibri"/>
        </w:rPr>
        <w:t>23 CDPD).</w:t>
      </w:r>
      <w:r w:rsidRPr="00EE25D1">
        <w:rPr>
          <w:rFonts w:ascii="Calibri" w:hAnsi="Calibri"/>
        </w:rPr>
        <w:t xml:space="preserve"> </w:t>
      </w:r>
    </w:p>
    <w:p w:rsidR="009173A5" w:rsidRPr="00EE25D1" w:rsidRDefault="00647B75" w:rsidP="00D44BF1">
      <w:pPr>
        <w:tabs>
          <w:tab w:val="left" w:pos="6080"/>
        </w:tabs>
        <w:spacing w:before="100" w:beforeAutospacing="1" w:after="100" w:afterAutospacing="1"/>
        <w:rPr>
          <w:rFonts w:ascii="Calibri" w:hAnsi="Calibri"/>
          <w:color w:val="000000" w:themeColor="text1"/>
          <w:shd w:val="clear" w:color="auto" w:fill="FFFFFF"/>
        </w:rPr>
      </w:pPr>
      <w:r w:rsidRPr="00EE25D1">
        <w:rPr>
          <w:rFonts w:ascii="Calibri" w:hAnsi="Calibri"/>
        </w:rPr>
        <w:t xml:space="preserve">España no quiso mantenerse al margen del nuevo escenario que demandaba el texto internacional y, con más voluntad que destreza, </w:t>
      </w:r>
      <w:r w:rsidR="00743D14" w:rsidRPr="00EE25D1">
        <w:rPr>
          <w:rFonts w:ascii="Calibri" w:hAnsi="Calibri"/>
        </w:rPr>
        <w:t xml:space="preserve">intentó </w:t>
      </w:r>
      <w:r w:rsidR="009804FC" w:rsidRPr="00EE25D1">
        <w:rPr>
          <w:rFonts w:ascii="Calibri" w:hAnsi="Calibri"/>
        </w:rPr>
        <w:t>adaptar el ordenamiento interno a los nuevos postulados.</w:t>
      </w:r>
      <w:r w:rsidR="00B21C46" w:rsidRPr="00EE25D1">
        <w:rPr>
          <w:rFonts w:ascii="Calibri" w:hAnsi="Calibri"/>
        </w:rPr>
        <w:t xml:space="preserve"> La primera reforma</w:t>
      </w:r>
      <w:r w:rsidR="00C624ED" w:rsidRPr="00EE25D1">
        <w:rPr>
          <w:rFonts w:ascii="Calibri" w:hAnsi="Calibri"/>
        </w:rPr>
        <w:t xml:space="preserve"> </w:t>
      </w:r>
      <w:r w:rsidR="00C71F23" w:rsidRPr="00EE25D1">
        <w:rPr>
          <w:rFonts w:ascii="Calibri" w:hAnsi="Calibri"/>
        </w:rPr>
        <w:t xml:space="preserve">del </w:t>
      </w:r>
      <w:r w:rsidR="0037190C" w:rsidRPr="00EE25D1">
        <w:rPr>
          <w:rFonts w:ascii="Calibri" w:hAnsi="Calibri"/>
        </w:rPr>
        <w:t>artículo</w:t>
      </w:r>
      <w:r w:rsidR="00C71F23" w:rsidRPr="00EE25D1">
        <w:rPr>
          <w:rFonts w:ascii="Calibri" w:hAnsi="Calibri"/>
        </w:rPr>
        <w:t xml:space="preserve"> 56 del Código Civil</w:t>
      </w:r>
      <w:r w:rsidR="00C624ED" w:rsidRPr="00EE25D1">
        <w:rPr>
          <w:rFonts w:ascii="Calibri" w:hAnsi="Calibri"/>
        </w:rPr>
        <w:t>, tras la Ley 30/1981,</w:t>
      </w:r>
      <w:r w:rsidR="00B21C46" w:rsidRPr="00EE25D1">
        <w:rPr>
          <w:rFonts w:ascii="Calibri" w:hAnsi="Calibri"/>
        </w:rPr>
        <w:t xml:space="preserve"> vino dada por la Ley 15/2015, de 2 de julio, de la Jurisdicción Voluntaria (</w:t>
      </w:r>
      <w:r w:rsidR="00C71F23" w:rsidRPr="00EE25D1">
        <w:rPr>
          <w:rFonts w:ascii="Calibri" w:hAnsi="Calibri"/>
        </w:rPr>
        <w:t xml:space="preserve">en adelante, </w:t>
      </w:r>
      <w:r w:rsidR="00B21C46" w:rsidRPr="00EE25D1">
        <w:rPr>
          <w:rFonts w:ascii="Calibri" w:hAnsi="Calibri"/>
        </w:rPr>
        <w:t xml:space="preserve">LJV), quedando redactado el segundo párrafo del siguiente modo: </w:t>
      </w:r>
      <w:r w:rsidR="00713CC7" w:rsidRPr="00EE25D1">
        <w:rPr>
          <w:rFonts w:ascii="Calibri" w:hAnsi="Calibri"/>
          <w:color w:val="000000" w:themeColor="text1"/>
        </w:rPr>
        <w:t>“</w:t>
      </w:r>
      <w:r w:rsidR="009173A5" w:rsidRPr="00EE25D1">
        <w:rPr>
          <w:rFonts w:ascii="Calibri" w:hAnsi="Calibri"/>
          <w:color w:val="000000" w:themeColor="text1"/>
          <w:shd w:val="clear" w:color="auto" w:fill="FFFFFF"/>
        </w:rPr>
        <w:t>Si alguno de los contrayentes estuviere afectado por deficiencias mentales, intelectuales o sensoriales, se exigirá por el Secretario judicial, Notario, Encargado del Registro Civil o funcionario que tramite el acta o expediente, dictamen médico sobre su aptitud para prestar el consentimiento</w:t>
      </w:r>
      <w:r w:rsidR="00713CC7" w:rsidRPr="00EE25D1">
        <w:rPr>
          <w:rFonts w:ascii="Calibri" w:hAnsi="Calibri"/>
          <w:color w:val="000000" w:themeColor="text1"/>
          <w:shd w:val="clear" w:color="auto" w:fill="FFFFFF"/>
        </w:rPr>
        <w:t>”</w:t>
      </w:r>
      <w:r w:rsidR="009173A5" w:rsidRPr="00EE25D1">
        <w:rPr>
          <w:rFonts w:ascii="Calibri" w:hAnsi="Calibri"/>
          <w:color w:val="000000" w:themeColor="text1"/>
          <w:shd w:val="clear" w:color="auto" w:fill="FFFFFF"/>
        </w:rPr>
        <w:t xml:space="preserve">. </w:t>
      </w:r>
    </w:p>
    <w:p w:rsidR="00743D14" w:rsidRPr="00EE25D1" w:rsidRDefault="009173A5" w:rsidP="00D44BF1">
      <w:pPr>
        <w:tabs>
          <w:tab w:val="left" w:pos="6080"/>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El inciso, a la postre, acabó por restringir más los derechos de las personas con discapacidad que la redacción anterior, toda vez que el dictamen médico no solo se podía exigir indiscriminadamente, o extramuros del principio de </w:t>
      </w:r>
      <w:r w:rsidRPr="00EE25D1">
        <w:rPr>
          <w:rFonts w:ascii="Calibri" w:hAnsi="Calibri"/>
          <w:i/>
          <w:color w:val="000000" w:themeColor="text1"/>
          <w:shd w:val="clear" w:color="auto" w:fill="FFFFFF"/>
        </w:rPr>
        <w:t>última ratio</w:t>
      </w:r>
      <w:r w:rsidRPr="00EE25D1">
        <w:rPr>
          <w:rFonts w:ascii="Calibri" w:hAnsi="Calibri"/>
          <w:color w:val="000000" w:themeColor="text1"/>
          <w:shd w:val="clear" w:color="auto" w:fill="FFFFFF"/>
        </w:rPr>
        <w:t xml:space="preserve">, sino que, amén de legitimar la exigencia del dictamen </w:t>
      </w:r>
      <w:r w:rsidRPr="00EE25D1">
        <w:rPr>
          <w:rFonts w:ascii="Calibri" w:hAnsi="Calibri"/>
          <w:i/>
          <w:color w:val="000000" w:themeColor="text1"/>
          <w:shd w:val="clear" w:color="auto" w:fill="FFFFFF"/>
        </w:rPr>
        <w:t>ab initio</w:t>
      </w:r>
      <w:r w:rsidRPr="00EE25D1">
        <w:rPr>
          <w:rFonts w:ascii="Calibri" w:hAnsi="Calibri"/>
          <w:color w:val="000000" w:themeColor="text1"/>
          <w:shd w:val="clear" w:color="auto" w:fill="FFFFFF"/>
        </w:rPr>
        <w:t xml:space="preserve"> del expediente, sin previa comprobación de que los contrayentes estuvieren aquejados de </w:t>
      </w:r>
      <w:r w:rsidR="006D7919" w:rsidRPr="00EE25D1">
        <w:rPr>
          <w:rFonts w:ascii="Calibri" w:hAnsi="Calibri"/>
          <w:color w:val="000000" w:themeColor="text1"/>
          <w:shd w:val="clear" w:color="auto" w:fill="FFFFFF"/>
        </w:rPr>
        <w:t>alguna</w:t>
      </w:r>
      <w:r w:rsidRPr="00EE25D1">
        <w:rPr>
          <w:rFonts w:ascii="Calibri" w:hAnsi="Calibri"/>
          <w:color w:val="000000" w:themeColor="text1"/>
          <w:shd w:val="clear" w:color="auto" w:fill="FFFFFF"/>
        </w:rPr>
        <w:t xml:space="preserve"> circunstancia que le impidiesen prestar el consentimiento matrimonial</w:t>
      </w:r>
      <w:r w:rsidR="006440A5" w:rsidRPr="00EE25D1">
        <w:rPr>
          <w:rStyle w:val="Refdenotaalpie"/>
          <w:rFonts w:ascii="Calibri" w:hAnsi="Calibri"/>
          <w:color w:val="000000" w:themeColor="text1"/>
          <w:shd w:val="clear" w:color="auto" w:fill="FFFFFF"/>
        </w:rPr>
        <w:footnoteReference w:id="5"/>
      </w:r>
      <w:r w:rsidRPr="00EE25D1">
        <w:rPr>
          <w:rFonts w:ascii="Calibri" w:hAnsi="Calibri"/>
          <w:color w:val="000000" w:themeColor="text1"/>
          <w:shd w:val="clear" w:color="auto" w:fill="FFFFFF"/>
        </w:rPr>
        <w:t xml:space="preserve">, avalaba la evacuación del </w:t>
      </w:r>
      <w:r w:rsidR="00743D14" w:rsidRPr="00EE25D1">
        <w:rPr>
          <w:rFonts w:ascii="Calibri" w:hAnsi="Calibri"/>
          <w:color w:val="000000" w:themeColor="text1"/>
          <w:shd w:val="clear" w:color="auto" w:fill="FFFFFF"/>
        </w:rPr>
        <w:t>mismo</w:t>
      </w:r>
      <w:r w:rsidRPr="00EE25D1">
        <w:rPr>
          <w:rFonts w:ascii="Calibri" w:hAnsi="Calibri"/>
          <w:color w:val="000000" w:themeColor="text1"/>
          <w:shd w:val="clear" w:color="auto" w:fill="FFFFFF"/>
        </w:rPr>
        <w:t xml:space="preserve"> ante cualquier clas</w:t>
      </w:r>
      <w:r w:rsidR="00743D14" w:rsidRPr="00EE25D1">
        <w:rPr>
          <w:rFonts w:ascii="Calibri" w:hAnsi="Calibri"/>
          <w:color w:val="000000" w:themeColor="text1"/>
          <w:shd w:val="clear" w:color="auto" w:fill="FFFFFF"/>
        </w:rPr>
        <w:t>e de discapacidad, ora física o sensorial</w:t>
      </w:r>
      <w:r w:rsidRPr="00EE25D1">
        <w:rPr>
          <w:rFonts w:ascii="Calibri" w:hAnsi="Calibri"/>
          <w:color w:val="000000" w:themeColor="text1"/>
          <w:shd w:val="clear" w:color="auto" w:fill="FFFFFF"/>
        </w:rPr>
        <w:t>, ora psíquica</w:t>
      </w:r>
      <w:r w:rsidR="001774F1" w:rsidRPr="00EE25D1">
        <w:rPr>
          <w:rFonts w:ascii="Calibri" w:hAnsi="Calibri"/>
          <w:color w:val="000000" w:themeColor="text1"/>
          <w:shd w:val="clear" w:color="auto" w:fill="FFFFFF"/>
        </w:rPr>
        <w:t xml:space="preserve"> o intelectual</w:t>
      </w:r>
      <w:r w:rsidRPr="00EE25D1">
        <w:rPr>
          <w:rFonts w:ascii="Calibri" w:hAnsi="Calibri"/>
          <w:color w:val="000000" w:themeColor="text1"/>
          <w:shd w:val="clear" w:color="auto" w:fill="FFFFFF"/>
        </w:rPr>
        <w:t xml:space="preserve">, con independencia del ligamen que pudiese albergar con la aptitud para prestar el consentimiento matrimonial. </w:t>
      </w:r>
      <w:r w:rsidR="00C624ED" w:rsidRPr="00EE25D1">
        <w:rPr>
          <w:rFonts w:ascii="Calibri" w:hAnsi="Calibri"/>
          <w:color w:val="000000" w:themeColor="text1"/>
          <w:shd w:val="clear" w:color="auto" w:fill="FFFFFF"/>
        </w:rPr>
        <w:t>Así</w:t>
      </w:r>
      <w:r w:rsidRPr="00EE25D1">
        <w:rPr>
          <w:rFonts w:ascii="Calibri" w:hAnsi="Calibri"/>
          <w:color w:val="000000" w:themeColor="text1"/>
          <w:shd w:val="clear" w:color="auto" w:fill="FFFFFF"/>
        </w:rPr>
        <w:t xml:space="preserve">, </w:t>
      </w:r>
      <w:r w:rsidR="00C624ED" w:rsidRPr="00EE25D1">
        <w:rPr>
          <w:rFonts w:ascii="Calibri" w:hAnsi="Calibri"/>
          <w:color w:val="000000" w:themeColor="text1"/>
          <w:shd w:val="clear" w:color="auto" w:fill="FFFFFF"/>
        </w:rPr>
        <w:t>l</w:t>
      </w:r>
      <w:r w:rsidRPr="00EE25D1">
        <w:rPr>
          <w:rFonts w:ascii="Calibri" w:hAnsi="Calibri"/>
          <w:color w:val="000000" w:themeColor="text1"/>
          <w:shd w:val="clear" w:color="auto" w:fill="FFFFFF"/>
        </w:rPr>
        <w:t xml:space="preserve">ejos de </w:t>
      </w:r>
      <w:r w:rsidR="006D7919" w:rsidRPr="00EE25D1">
        <w:rPr>
          <w:rFonts w:ascii="Calibri" w:hAnsi="Calibri"/>
          <w:color w:val="000000" w:themeColor="text1"/>
          <w:shd w:val="clear" w:color="auto" w:fill="FFFFFF"/>
        </w:rPr>
        <w:t>aproximarse</w:t>
      </w:r>
      <w:r w:rsidR="00C71F23" w:rsidRPr="00EE25D1">
        <w:rPr>
          <w:rFonts w:ascii="Calibri" w:hAnsi="Calibri"/>
          <w:color w:val="000000" w:themeColor="text1"/>
          <w:shd w:val="clear" w:color="auto" w:fill="FFFFFF"/>
        </w:rPr>
        <w:t xml:space="preserve">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Pr="00EE25D1">
        <w:rPr>
          <w:rFonts w:ascii="Calibri" w:hAnsi="Calibri"/>
          <w:color w:val="000000" w:themeColor="text1"/>
          <w:shd w:val="clear" w:color="auto" w:fill="FFFFFF"/>
        </w:rPr>
        <w:t xml:space="preserve"> a</w:t>
      </w:r>
      <w:r w:rsidR="000376EA" w:rsidRPr="00EE25D1">
        <w:rPr>
          <w:rFonts w:ascii="Calibri" w:hAnsi="Calibri"/>
          <w:color w:val="000000" w:themeColor="text1"/>
          <w:shd w:val="clear" w:color="auto" w:fill="FFFFFF"/>
        </w:rPr>
        <w:t xml:space="preserve"> </w:t>
      </w:r>
      <w:r w:rsidR="006D7919" w:rsidRPr="00EE25D1">
        <w:rPr>
          <w:rFonts w:ascii="Calibri" w:hAnsi="Calibri"/>
          <w:color w:val="000000" w:themeColor="text1"/>
          <w:shd w:val="clear" w:color="auto" w:fill="FFFFFF"/>
        </w:rPr>
        <w:t>los</w:t>
      </w:r>
      <w:r w:rsidRPr="00EE25D1">
        <w:rPr>
          <w:rFonts w:ascii="Calibri" w:hAnsi="Calibri"/>
          <w:color w:val="000000" w:themeColor="text1"/>
          <w:shd w:val="clear" w:color="auto" w:fill="FFFFFF"/>
        </w:rPr>
        <w:t xml:space="preserve"> postulados del </w:t>
      </w:r>
      <w:r w:rsidR="0037190C" w:rsidRPr="00EE25D1">
        <w:rPr>
          <w:rFonts w:ascii="Calibri" w:hAnsi="Calibri"/>
        </w:rPr>
        <w:t>artículo</w:t>
      </w:r>
      <w:r w:rsidRPr="00EE25D1">
        <w:rPr>
          <w:rFonts w:ascii="Calibri" w:hAnsi="Calibri"/>
          <w:color w:val="000000" w:themeColor="text1"/>
          <w:shd w:val="clear" w:color="auto" w:fill="FFFFFF"/>
        </w:rPr>
        <w:t xml:space="preserve"> 23 CDPD</w:t>
      </w:r>
      <w:r w:rsidRPr="00EE25D1">
        <w:rPr>
          <w:rStyle w:val="Refdenotaalpie"/>
          <w:rFonts w:ascii="Calibri" w:hAnsi="Calibri"/>
          <w:color w:val="000000" w:themeColor="text1"/>
          <w:shd w:val="clear" w:color="auto" w:fill="FFFFFF"/>
        </w:rPr>
        <w:footnoteReference w:id="6"/>
      </w:r>
      <w:r w:rsidRPr="00EE25D1">
        <w:rPr>
          <w:rFonts w:ascii="Calibri" w:hAnsi="Calibri"/>
          <w:color w:val="000000" w:themeColor="text1"/>
          <w:shd w:val="clear" w:color="auto" w:fill="FFFFFF"/>
        </w:rPr>
        <w:t xml:space="preserve">, el legislador </w:t>
      </w:r>
      <w:r w:rsidR="006D7919" w:rsidRPr="00EE25D1">
        <w:rPr>
          <w:rFonts w:ascii="Calibri" w:hAnsi="Calibri"/>
          <w:color w:val="000000" w:themeColor="text1"/>
          <w:shd w:val="clear" w:color="auto" w:fill="FFFFFF"/>
        </w:rPr>
        <w:t>dibujó una brecha</w:t>
      </w:r>
      <w:r w:rsidR="00570B5B" w:rsidRPr="00EE25D1">
        <w:rPr>
          <w:rFonts w:ascii="Calibri" w:hAnsi="Calibri"/>
          <w:color w:val="000000" w:themeColor="text1"/>
          <w:shd w:val="clear" w:color="auto" w:fill="FFFFFF"/>
        </w:rPr>
        <w:t xml:space="preserve">, </w:t>
      </w:r>
      <w:r w:rsidR="00743D14" w:rsidRPr="00EE25D1">
        <w:rPr>
          <w:rFonts w:ascii="Calibri" w:hAnsi="Calibri"/>
          <w:color w:val="000000" w:themeColor="text1"/>
          <w:shd w:val="clear" w:color="auto" w:fill="FFFFFF"/>
        </w:rPr>
        <w:t>provocando que</w:t>
      </w:r>
      <w:r w:rsidR="007E21C2" w:rsidRPr="00EE25D1">
        <w:rPr>
          <w:rFonts w:ascii="Calibri" w:hAnsi="Calibri"/>
          <w:color w:val="000000" w:themeColor="text1"/>
          <w:shd w:val="clear" w:color="auto" w:fill="FFFFFF"/>
        </w:rPr>
        <w:t xml:space="preserve"> la Resolución-Circular de 23 de diciembre de 2016, de la Dirección General de los Registros y del Notariado, sobre la interpretación y aplicación del artículo 56 del Código Civil, relativo a la forma de celebración del matrimonio</w:t>
      </w:r>
      <w:r w:rsidR="000376EA" w:rsidRPr="00EE25D1">
        <w:rPr>
          <w:rFonts w:ascii="Calibri" w:hAnsi="Calibri"/>
          <w:color w:val="000000" w:themeColor="text1"/>
          <w:shd w:val="clear" w:color="auto" w:fill="FFFFFF"/>
        </w:rPr>
        <w:t>,</w:t>
      </w:r>
      <w:r w:rsidR="00743D14" w:rsidRPr="00EE25D1">
        <w:rPr>
          <w:rFonts w:ascii="Calibri" w:hAnsi="Calibri"/>
          <w:color w:val="000000" w:themeColor="text1"/>
          <w:shd w:val="clear" w:color="auto" w:fill="FFFFFF"/>
        </w:rPr>
        <w:t xml:space="preserve"> desarrollara</w:t>
      </w:r>
      <w:r w:rsidR="00570B5B" w:rsidRPr="00EE25D1">
        <w:rPr>
          <w:rFonts w:ascii="Calibri" w:hAnsi="Calibri"/>
          <w:color w:val="000000" w:themeColor="text1"/>
          <w:shd w:val="clear" w:color="auto" w:fill="FFFFFF"/>
        </w:rPr>
        <w:t xml:space="preserve"> una exégesis del precepto</w:t>
      </w:r>
      <w:r w:rsidR="006D7919" w:rsidRPr="00EE25D1">
        <w:rPr>
          <w:rFonts w:ascii="Calibri" w:hAnsi="Calibri"/>
          <w:color w:val="000000" w:themeColor="text1"/>
          <w:shd w:val="clear" w:color="auto" w:fill="FFFFFF"/>
        </w:rPr>
        <w:t>,</w:t>
      </w:r>
      <w:r w:rsidR="00743D14" w:rsidRPr="00EE25D1">
        <w:rPr>
          <w:rFonts w:ascii="Calibri" w:hAnsi="Calibri"/>
          <w:color w:val="000000" w:themeColor="text1"/>
          <w:shd w:val="clear" w:color="auto" w:fill="FFFFFF"/>
        </w:rPr>
        <w:t xml:space="preserve"> a pesar de que, dada la vacatio legis del </w:t>
      </w:r>
      <w:r w:rsidR="0037190C" w:rsidRPr="00EE25D1">
        <w:rPr>
          <w:rFonts w:ascii="Calibri" w:hAnsi="Calibri"/>
        </w:rPr>
        <w:t>artículo</w:t>
      </w:r>
      <w:r w:rsidR="00743D14"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743D14" w:rsidRPr="00EE25D1">
        <w:rPr>
          <w:rStyle w:val="Refdenotaalpie"/>
          <w:rFonts w:ascii="Calibri" w:hAnsi="Calibri"/>
          <w:color w:val="000000" w:themeColor="text1"/>
          <w:shd w:val="clear" w:color="auto" w:fill="FFFFFF"/>
        </w:rPr>
        <w:footnoteReference w:id="7"/>
      </w:r>
      <w:r w:rsidR="00966A49" w:rsidRPr="00EE25D1">
        <w:rPr>
          <w:rFonts w:ascii="Calibri" w:hAnsi="Calibri"/>
          <w:color w:val="000000" w:themeColor="text1"/>
          <w:shd w:val="clear" w:color="auto" w:fill="FFFFFF"/>
        </w:rPr>
        <w:t xml:space="preserve">, la dicción dada </w:t>
      </w:r>
      <w:r w:rsidR="00743D14" w:rsidRPr="00EE25D1">
        <w:rPr>
          <w:rFonts w:ascii="Calibri" w:hAnsi="Calibri"/>
          <w:color w:val="000000" w:themeColor="text1"/>
          <w:shd w:val="clear" w:color="auto" w:fill="FFFFFF"/>
        </w:rPr>
        <w:t xml:space="preserve">por la LJV no entraría en vigor hasta el 30 de junio de 2017. </w:t>
      </w:r>
    </w:p>
    <w:p w:rsidR="00570B5B" w:rsidRPr="00EE25D1" w:rsidRDefault="00570B5B" w:rsidP="00D44BF1">
      <w:pPr>
        <w:tabs>
          <w:tab w:val="left" w:pos="6080"/>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La citada resoluci</w:t>
      </w:r>
      <w:r w:rsidR="005051BC" w:rsidRPr="00EE25D1">
        <w:rPr>
          <w:rFonts w:ascii="Calibri" w:hAnsi="Calibri"/>
          <w:color w:val="000000" w:themeColor="text1"/>
          <w:shd w:val="clear" w:color="auto" w:fill="FFFFFF"/>
        </w:rPr>
        <w:t>ón, situando como faro los artículos</w:t>
      </w:r>
      <w:r w:rsidRPr="00EE25D1">
        <w:rPr>
          <w:rFonts w:ascii="Calibri" w:hAnsi="Calibri"/>
          <w:color w:val="000000" w:themeColor="text1"/>
          <w:shd w:val="clear" w:color="auto" w:fill="FFFFFF"/>
        </w:rPr>
        <w:t xml:space="preserve"> 12 y 13 CDPD, dijo que la exigencia del dictamen médico, que amplió desproporcionadamente el legislador patrio, debía ser objeto de una interpretación estricta</w:t>
      </w:r>
      <w:r w:rsidR="00B17D8D" w:rsidRPr="00EE25D1">
        <w:rPr>
          <w:rFonts w:ascii="Calibri" w:hAnsi="Calibri"/>
          <w:color w:val="000000" w:themeColor="text1"/>
          <w:shd w:val="clear" w:color="auto" w:fill="FFFFFF"/>
        </w:rPr>
        <w:t>, deb</w:t>
      </w:r>
      <w:r w:rsidR="00743D14" w:rsidRPr="00EE25D1">
        <w:rPr>
          <w:rFonts w:ascii="Calibri" w:hAnsi="Calibri"/>
          <w:color w:val="000000" w:themeColor="text1"/>
          <w:shd w:val="clear" w:color="auto" w:fill="FFFFFF"/>
        </w:rPr>
        <w:t>iendo</w:t>
      </w:r>
      <w:r w:rsidR="00B17D8D" w:rsidRPr="00EE25D1">
        <w:rPr>
          <w:rFonts w:ascii="Calibri" w:hAnsi="Calibri"/>
          <w:color w:val="000000" w:themeColor="text1"/>
          <w:shd w:val="clear" w:color="auto" w:fill="FFFFFF"/>
        </w:rPr>
        <w:t xml:space="preserve"> limitarse </w:t>
      </w:r>
      <w:r w:rsidRPr="00EE25D1">
        <w:rPr>
          <w:rFonts w:ascii="Calibri" w:hAnsi="Calibri"/>
          <w:color w:val="000000" w:themeColor="text1"/>
          <w:shd w:val="clear" w:color="auto" w:fill="FFFFFF"/>
        </w:rPr>
        <w:t xml:space="preserve">a aquellos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supuestos excepcionales en los que la discapacidad afecte </w:t>
      </w:r>
      <w:r w:rsidR="006D7919" w:rsidRPr="00EE25D1">
        <w:rPr>
          <w:rFonts w:ascii="Calibri" w:hAnsi="Calibri"/>
          <w:color w:val="000000" w:themeColor="text1"/>
          <w:shd w:val="clear" w:color="auto" w:fill="FFFFFF"/>
        </w:rPr>
        <w:t xml:space="preserve">de forma evidente e impeditiva, </w:t>
      </w:r>
      <w:r w:rsidRPr="00EE25D1">
        <w:rPr>
          <w:rFonts w:ascii="Calibri" w:hAnsi="Calibri"/>
          <w:color w:val="000000" w:themeColor="text1"/>
          <w:shd w:val="clear" w:color="auto" w:fill="FFFFFF"/>
        </w:rPr>
        <w:t>aún proporcionados los apoyos precisos, a la capacidad para prestar el consentimiento</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w:t>
      </w:r>
      <w:r w:rsidR="00DF7C2E" w:rsidRPr="00EE25D1">
        <w:rPr>
          <w:rFonts w:ascii="Calibri" w:hAnsi="Calibri"/>
          <w:color w:val="000000" w:themeColor="text1"/>
          <w:shd w:val="clear" w:color="auto" w:fill="FFFFFF"/>
        </w:rPr>
        <w:t>dejando</w:t>
      </w:r>
      <w:r w:rsidRPr="00EE25D1">
        <w:rPr>
          <w:rFonts w:ascii="Calibri" w:hAnsi="Calibri"/>
          <w:color w:val="000000" w:themeColor="text1"/>
          <w:shd w:val="clear" w:color="auto" w:fill="FFFFFF"/>
        </w:rPr>
        <w:t xml:space="preserve"> extramuros del dictamen </w:t>
      </w:r>
      <w:r w:rsidR="00953C5C" w:rsidRPr="00EE25D1">
        <w:rPr>
          <w:rFonts w:ascii="Calibri" w:hAnsi="Calibri"/>
          <w:color w:val="000000" w:themeColor="text1"/>
          <w:shd w:val="clear" w:color="auto" w:fill="FFFFFF"/>
        </w:rPr>
        <w:t>aquellos supuestos en los que la discapacidad</w:t>
      </w:r>
      <w:r w:rsidRPr="00EE25D1">
        <w:rPr>
          <w:rFonts w:ascii="Calibri" w:hAnsi="Calibri"/>
          <w:color w:val="000000" w:themeColor="text1"/>
          <w:shd w:val="clear" w:color="auto" w:fill="FFFFFF"/>
        </w:rPr>
        <w:t xml:space="preserve"> no tiene una afectación en el consentimiento matrimonial. </w:t>
      </w:r>
    </w:p>
    <w:p w:rsidR="00953C5C" w:rsidRPr="00EE25D1" w:rsidRDefault="00953C5C" w:rsidP="00D44BF1">
      <w:pPr>
        <w:tabs>
          <w:tab w:val="left" w:pos="6080"/>
        </w:tabs>
        <w:spacing w:before="100" w:beforeAutospacing="1" w:after="100" w:afterAutospacing="1"/>
        <w:rPr>
          <w:rFonts w:ascii="Calibri" w:hAnsi="Calibri"/>
          <w:b/>
          <w:i/>
          <w:color w:val="000000" w:themeColor="text1"/>
          <w:shd w:val="clear" w:color="auto" w:fill="FFFFFF"/>
        </w:rPr>
      </w:pPr>
      <w:r w:rsidRPr="00EE25D1">
        <w:rPr>
          <w:rFonts w:ascii="Calibri" w:hAnsi="Calibri"/>
          <w:b/>
          <w:i/>
          <w:color w:val="000000" w:themeColor="text1"/>
          <w:shd w:val="clear" w:color="auto" w:fill="FFFFFF"/>
        </w:rPr>
        <w:t>2.</w:t>
      </w:r>
      <w:r w:rsidR="00C02EF1" w:rsidRPr="00EE25D1">
        <w:rPr>
          <w:rFonts w:ascii="Calibri" w:hAnsi="Calibri"/>
          <w:b/>
          <w:i/>
          <w:color w:val="000000" w:themeColor="text1"/>
          <w:shd w:val="clear" w:color="auto" w:fill="FFFFFF"/>
        </w:rPr>
        <w:t>2.</w:t>
      </w:r>
      <w:r w:rsidRPr="00EE25D1">
        <w:rPr>
          <w:rFonts w:ascii="Calibri" w:hAnsi="Calibri"/>
          <w:b/>
          <w:i/>
          <w:color w:val="000000" w:themeColor="text1"/>
          <w:shd w:val="clear" w:color="auto" w:fill="FFFFFF"/>
        </w:rPr>
        <w:t xml:space="preserve"> Ámbito de aplicación del </w:t>
      </w:r>
      <w:r w:rsidR="003B446E" w:rsidRPr="00EE25D1">
        <w:rPr>
          <w:rFonts w:ascii="Calibri" w:hAnsi="Calibri"/>
          <w:b/>
          <w:i/>
          <w:color w:val="000000" w:themeColor="text1"/>
          <w:shd w:val="clear" w:color="auto" w:fill="FFFFFF"/>
        </w:rPr>
        <w:t>artículo 56 del Código Civil</w:t>
      </w:r>
    </w:p>
    <w:p w:rsidR="0036175E" w:rsidRPr="00EE25D1" w:rsidRDefault="00953C5C" w:rsidP="00D44BF1">
      <w:pPr>
        <w:tabs>
          <w:tab w:val="left" w:pos="8505"/>
        </w:tabs>
        <w:spacing w:before="100" w:beforeAutospacing="1" w:after="100" w:afterAutospacing="1"/>
        <w:rPr>
          <w:rFonts w:ascii="Calibri" w:hAnsi="Calibri"/>
          <w:color w:val="000000"/>
          <w:shd w:val="clear" w:color="auto" w:fill="FFFFFF"/>
        </w:rPr>
      </w:pPr>
      <w:r w:rsidRPr="00EE25D1">
        <w:rPr>
          <w:rFonts w:ascii="Calibri" w:hAnsi="Calibri"/>
          <w:color w:val="000000" w:themeColor="text1"/>
          <w:shd w:val="clear" w:color="auto" w:fill="FFFFFF"/>
        </w:rPr>
        <w:t xml:space="preserve">Antes de la entrada en vigor de la citada </w:t>
      </w:r>
      <w:r w:rsidR="00C71F23" w:rsidRPr="00EE25D1">
        <w:rPr>
          <w:rFonts w:ascii="Calibri" w:hAnsi="Calibri"/>
          <w:color w:val="000000" w:themeColor="text1"/>
          <w:shd w:val="clear" w:color="auto" w:fill="FFFFFF"/>
        </w:rPr>
        <w:t xml:space="preserve">redacción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Pr="00EE25D1">
        <w:rPr>
          <w:rFonts w:ascii="Calibri" w:hAnsi="Calibri"/>
          <w:color w:val="000000" w:themeColor="text1"/>
          <w:shd w:val="clear" w:color="auto" w:fill="FFFFFF"/>
        </w:rPr>
        <w:t>, el legislador art</w:t>
      </w:r>
      <w:r w:rsidR="0036175E" w:rsidRPr="00EE25D1">
        <w:rPr>
          <w:rFonts w:ascii="Calibri" w:hAnsi="Calibri"/>
          <w:color w:val="000000" w:themeColor="text1"/>
          <w:shd w:val="clear" w:color="auto" w:fill="FFFFFF"/>
        </w:rPr>
        <w:t>i</w:t>
      </w:r>
      <w:r w:rsidRPr="00EE25D1">
        <w:rPr>
          <w:rFonts w:ascii="Calibri" w:hAnsi="Calibri"/>
          <w:color w:val="000000" w:themeColor="text1"/>
          <w:shd w:val="clear" w:color="auto" w:fill="FFFFFF"/>
        </w:rPr>
        <w:t>cul</w:t>
      </w:r>
      <w:r w:rsidR="0036175E" w:rsidRPr="00EE25D1">
        <w:rPr>
          <w:rFonts w:ascii="Calibri" w:hAnsi="Calibri"/>
          <w:color w:val="000000" w:themeColor="text1"/>
          <w:shd w:val="clear" w:color="auto" w:fill="FFFFFF"/>
        </w:rPr>
        <w:t>ó</w:t>
      </w:r>
      <w:r w:rsidRPr="00EE25D1">
        <w:rPr>
          <w:rFonts w:ascii="Calibri" w:hAnsi="Calibri"/>
          <w:color w:val="000000" w:themeColor="text1"/>
          <w:shd w:val="clear" w:color="auto" w:fill="FFFFFF"/>
        </w:rPr>
        <w:t xml:space="preserve"> una nueva modificación, vehiculizando la reforma</w:t>
      </w:r>
      <w:r w:rsidR="0036175E" w:rsidRPr="00EE25D1">
        <w:rPr>
          <w:rFonts w:ascii="Calibri" w:hAnsi="Calibri"/>
          <w:color w:val="000000" w:themeColor="text1"/>
          <w:shd w:val="clear" w:color="auto" w:fill="FFFFFF"/>
        </w:rPr>
        <w:t xml:space="preserve">, </w:t>
      </w:r>
      <w:r w:rsidR="00385789" w:rsidRPr="00EE25D1">
        <w:rPr>
          <w:rFonts w:ascii="Calibri" w:hAnsi="Calibri"/>
          <w:color w:val="000000" w:themeColor="text1"/>
          <w:shd w:val="clear" w:color="auto" w:fill="FFFFFF"/>
        </w:rPr>
        <w:t>vigente a día de hoy,</w:t>
      </w:r>
      <w:r w:rsidR="0036175E"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a través de la Ley 4/2017, de 29 de jun</w:t>
      </w:r>
      <w:r w:rsidR="000B17B5" w:rsidRPr="00EE25D1">
        <w:rPr>
          <w:rFonts w:ascii="Calibri" w:hAnsi="Calibri"/>
          <w:color w:val="000000" w:themeColor="text1"/>
          <w:shd w:val="clear" w:color="auto" w:fill="FFFFFF"/>
        </w:rPr>
        <w:t>io, de modificación de la Ley 15</w:t>
      </w:r>
      <w:r w:rsidRPr="00EE25D1">
        <w:rPr>
          <w:rFonts w:ascii="Calibri" w:hAnsi="Calibri"/>
          <w:color w:val="000000" w:themeColor="text1"/>
          <w:shd w:val="clear" w:color="auto" w:fill="FFFFFF"/>
        </w:rPr>
        <w:t xml:space="preserve">/2015, de 2 de julio, de la Jurisdicción Voluntaria, siendo la nueva </w:t>
      </w:r>
      <w:r w:rsidR="0036175E" w:rsidRPr="00EE25D1">
        <w:rPr>
          <w:rFonts w:ascii="Calibri" w:hAnsi="Calibri"/>
          <w:i/>
          <w:color w:val="000000" w:themeColor="text1"/>
          <w:shd w:val="clear" w:color="auto" w:fill="FFFFFF"/>
        </w:rPr>
        <w:t>dictio legis</w:t>
      </w:r>
      <w:r w:rsidR="009A1F7B" w:rsidRPr="00EE25D1">
        <w:rPr>
          <w:rFonts w:ascii="Calibri" w:hAnsi="Calibri"/>
          <w:color w:val="000000" w:themeColor="text1"/>
          <w:shd w:val="clear" w:color="auto" w:fill="FFFFFF"/>
        </w:rPr>
        <w:t xml:space="preserve"> la que sigue: </w:t>
      </w:r>
      <w:r w:rsidR="00713CC7" w:rsidRPr="00EE25D1">
        <w:rPr>
          <w:rFonts w:ascii="Calibri" w:hAnsi="Calibri"/>
          <w:color w:val="000000" w:themeColor="text1"/>
          <w:shd w:val="clear" w:color="auto" w:fill="FFFFFF"/>
        </w:rPr>
        <w:t>“</w:t>
      </w:r>
      <w:r w:rsidR="0036175E" w:rsidRPr="00EE25D1">
        <w:rPr>
          <w:rFonts w:ascii="Calibri" w:hAnsi="Calibri"/>
          <w:color w:val="000000"/>
          <w:shd w:val="clear" w:color="auto" w:fill="FFFFFF"/>
        </w:rPr>
        <w:t>El Letrado de la Administración de Justicia, Notario, Encargado del Registro Civil o funcionario que tramite el acta o expediente, cuando sea necesario, podrá recabar de las Administraciones o entidades de iniciativa social de promoción y protección de los derechos de las personas con discapacidad, la provisión de apoyos humanos, técnicos y materiales que faciliten la emisión, interpretación y recepción del consentimiento del o los contrayentes. Solo en el caso excepcional de que alguno de los contrayentes presentare una condición de salud que, de modo evidente, categórico y sustancial, pueda impedirle prestar el consentimiento matrimonial pese a las medidas de apoyo, se recabará dictamen médico sobre su aptitud para prestar el consentimiento</w:t>
      </w:r>
      <w:r w:rsidR="00713CC7" w:rsidRPr="00EE25D1">
        <w:rPr>
          <w:rFonts w:ascii="Calibri" w:hAnsi="Calibri"/>
          <w:color w:val="000000"/>
          <w:shd w:val="clear" w:color="auto" w:fill="FFFFFF"/>
        </w:rPr>
        <w:t>”</w:t>
      </w:r>
      <w:r w:rsidR="0036175E" w:rsidRPr="00EE25D1">
        <w:rPr>
          <w:rFonts w:ascii="Calibri" w:hAnsi="Calibri"/>
          <w:color w:val="000000"/>
          <w:shd w:val="clear" w:color="auto" w:fill="FFFFFF"/>
        </w:rPr>
        <w:t xml:space="preserve">. Aunque no esté separado el precepto transcrito en párrafos distintos podemos diferenciar dos partes. </w:t>
      </w:r>
    </w:p>
    <w:p w:rsidR="00D31805" w:rsidRPr="00EE25D1" w:rsidRDefault="00C02EF1" w:rsidP="00D44BF1">
      <w:pPr>
        <w:tabs>
          <w:tab w:val="left" w:pos="8505"/>
        </w:tabs>
        <w:spacing w:before="100" w:beforeAutospacing="1" w:after="100" w:afterAutospacing="1"/>
        <w:rPr>
          <w:rFonts w:ascii="Calibri" w:hAnsi="Calibri"/>
          <w:b/>
          <w:color w:val="000000"/>
          <w:shd w:val="clear" w:color="auto" w:fill="FFFFFF"/>
        </w:rPr>
      </w:pPr>
      <w:r w:rsidRPr="00EE25D1">
        <w:rPr>
          <w:rFonts w:ascii="Calibri" w:hAnsi="Calibri"/>
          <w:b/>
          <w:color w:val="000000"/>
          <w:shd w:val="clear" w:color="auto" w:fill="FFFFFF"/>
        </w:rPr>
        <w:t>2.2.1.</w:t>
      </w:r>
      <w:r w:rsidR="00D31805" w:rsidRPr="00EE25D1">
        <w:rPr>
          <w:rFonts w:ascii="Calibri" w:hAnsi="Calibri"/>
          <w:b/>
          <w:color w:val="000000"/>
          <w:shd w:val="clear" w:color="auto" w:fill="FFFFFF"/>
        </w:rPr>
        <w:t xml:space="preserve"> Contrayentes con discapacidad</w:t>
      </w:r>
      <w:r w:rsidR="006D7919" w:rsidRPr="00EE25D1">
        <w:rPr>
          <w:rFonts w:ascii="Calibri" w:hAnsi="Calibri"/>
          <w:b/>
          <w:color w:val="000000"/>
          <w:shd w:val="clear" w:color="auto" w:fill="FFFFFF"/>
        </w:rPr>
        <w:t xml:space="preserve"> física o</w:t>
      </w:r>
      <w:r w:rsidR="00D31805" w:rsidRPr="00EE25D1">
        <w:rPr>
          <w:rFonts w:ascii="Calibri" w:hAnsi="Calibri"/>
          <w:b/>
          <w:color w:val="000000"/>
          <w:shd w:val="clear" w:color="auto" w:fill="FFFFFF"/>
        </w:rPr>
        <w:t xml:space="preserve"> sensorial</w:t>
      </w:r>
    </w:p>
    <w:p w:rsidR="002624BC" w:rsidRPr="00EE25D1" w:rsidRDefault="0036175E" w:rsidP="00D44BF1">
      <w:pPr>
        <w:tabs>
          <w:tab w:val="left" w:pos="8505"/>
        </w:tabs>
        <w:spacing w:before="100" w:beforeAutospacing="1" w:after="100" w:afterAutospacing="1"/>
        <w:rPr>
          <w:rFonts w:ascii="Calibri" w:hAnsi="Calibri"/>
          <w:color w:val="000000"/>
          <w:shd w:val="clear" w:color="auto" w:fill="FFFFFF"/>
        </w:rPr>
      </w:pPr>
      <w:r w:rsidRPr="00EE25D1">
        <w:rPr>
          <w:rFonts w:ascii="Calibri" w:hAnsi="Calibri"/>
          <w:color w:val="000000"/>
          <w:shd w:val="clear" w:color="auto" w:fill="FFFFFF"/>
        </w:rPr>
        <w:t>La primera se refiere a aquellos contrayentes aquejados de una disc</w:t>
      </w:r>
      <w:r w:rsidR="002624BC" w:rsidRPr="00EE25D1">
        <w:rPr>
          <w:rFonts w:ascii="Calibri" w:hAnsi="Calibri"/>
          <w:color w:val="000000"/>
          <w:shd w:val="clear" w:color="auto" w:fill="FFFFFF"/>
        </w:rPr>
        <w:t>apacidad</w:t>
      </w:r>
      <w:r w:rsidR="009E359D" w:rsidRPr="00EE25D1">
        <w:rPr>
          <w:rFonts w:ascii="Calibri" w:hAnsi="Calibri"/>
          <w:color w:val="000000"/>
          <w:shd w:val="clear" w:color="auto" w:fill="FFFFFF"/>
        </w:rPr>
        <w:t xml:space="preserve"> física o</w:t>
      </w:r>
      <w:r w:rsidR="002624BC" w:rsidRPr="00EE25D1">
        <w:rPr>
          <w:rFonts w:ascii="Calibri" w:hAnsi="Calibri"/>
          <w:color w:val="000000"/>
          <w:shd w:val="clear" w:color="auto" w:fill="FFFFFF"/>
        </w:rPr>
        <w:t xml:space="preserve"> sensorial que dificulte</w:t>
      </w:r>
      <w:r w:rsidRPr="00EE25D1">
        <w:rPr>
          <w:rFonts w:ascii="Calibri" w:hAnsi="Calibri"/>
          <w:color w:val="000000"/>
          <w:shd w:val="clear" w:color="auto" w:fill="FFFFFF"/>
        </w:rPr>
        <w:t xml:space="preserve"> la </w:t>
      </w:r>
      <w:r w:rsidR="00713CC7" w:rsidRPr="00EE25D1">
        <w:rPr>
          <w:rFonts w:ascii="Calibri" w:hAnsi="Calibri"/>
          <w:color w:val="000000"/>
          <w:shd w:val="clear" w:color="auto" w:fill="FFFFFF"/>
        </w:rPr>
        <w:t>“</w:t>
      </w:r>
      <w:r w:rsidRPr="00EE25D1">
        <w:rPr>
          <w:rFonts w:ascii="Calibri" w:hAnsi="Calibri"/>
          <w:color w:val="000000"/>
          <w:shd w:val="clear" w:color="auto" w:fill="FFFFFF"/>
        </w:rPr>
        <w:t>emisión, interpretación y recepción del cons</w:t>
      </w:r>
      <w:r w:rsidR="00385789" w:rsidRPr="00EE25D1">
        <w:rPr>
          <w:rFonts w:ascii="Calibri" w:hAnsi="Calibri"/>
          <w:color w:val="000000"/>
          <w:shd w:val="clear" w:color="auto" w:fill="FFFFFF"/>
        </w:rPr>
        <w:t>entimiento</w:t>
      </w:r>
      <w:r w:rsidR="00713CC7" w:rsidRPr="00EE25D1">
        <w:rPr>
          <w:rFonts w:ascii="Calibri" w:hAnsi="Calibri"/>
          <w:color w:val="000000"/>
          <w:shd w:val="clear" w:color="auto" w:fill="FFFFFF"/>
        </w:rPr>
        <w:t>”</w:t>
      </w:r>
      <w:r w:rsidR="00385789" w:rsidRPr="00EE25D1">
        <w:rPr>
          <w:rFonts w:ascii="Calibri" w:hAnsi="Calibri"/>
          <w:color w:val="000000"/>
          <w:shd w:val="clear" w:color="auto" w:fill="FFFFFF"/>
        </w:rPr>
        <w:t xml:space="preserve">; en estos casos, la autoridad o funcionario que tramite </w:t>
      </w:r>
      <w:r w:rsidRPr="00EE25D1">
        <w:rPr>
          <w:rFonts w:ascii="Calibri" w:hAnsi="Calibri"/>
          <w:color w:val="000000"/>
          <w:shd w:val="clear" w:color="auto" w:fill="FFFFFF"/>
        </w:rPr>
        <w:t>el ex</w:t>
      </w:r>
      <w:r w:rsidR="00525254" w:rsidRPr="00EE25D1">
        <w:rPr>
          <w:rFonts w:ascii="Calibri" w:hAnsi="Calibri"/>
          <w:color w:val="000000"/>
          <w:shd w:val="clear" w:color="auto" w:fill="FFFFFF"/>
        </w:rPr>
        <w:t xml:space="preserve">pediente podrá, solo en el escenario </w:t>
      </w:r>
      <w:r w:rsidRPr="00EE25D1">
        <w:rPr>
          <w:rFonts w:ascii="Calibri" w:hAnsi="Calibri"/>
          <w:color w:val="000000"/>
          <w:shd w:val="clear" w:color="auto" w:fill="FFFFFF"/>
        </w:rPr>
        <w:t>de que el contrayente no pueda exteriorizar su voluntad</w:t>
      </w:r>
      <w:r w:rsidR="00385789" w:rsidRPr="00EE25D1">
        <w:rPr>
          <w:rFonts w:ascii="Calibri" w:hAnsi="Calibri"/>
          <w:color w:val="000000"/>
          <w:shd w:val="clear" w:color="auto" w:fill="FFFFFF"/>
        </w:rPr>
        <w:t>, proveerle</w:t>
      </w:r>
      <w:r w:rsidR="00525254" w:rsidRPr="00EE25D1">
        <w:rPr>
          <w:rFonts w:ascii="Calibri" w:hAnsi="Calibri"/>
          <w:color w:val="000000"/>
          <w:shd w:val="clear" w:color="auto" w:fill="FFFFFF"/>
        </w:rPr>
        <w:t xml:space="preserve"> los apoyos humano</w:t>
      </w:r>
      <w:r w:rsidRPr="00EE25D1">
        <w:rPr>
          <w:rFonts w:ascii="Calibri" w:hAnsi="Calibri"/>
          <w:color w:val="000000"/>
          <w:shd w:val="clear" w:color="auto" w:fill="FFFFFF"/>
        </w:rPr>
        <w:t>s, técnicos y materiales</w:t>
      </w:r>
      <w:r w:rsidR="00385789" w:rsidRPr="00EE25D1">
        <w:rPr>
          <w:rFonts w:ascii="Calibri" w:hAnsi="Calibri"/>
          <w:color w:val="000000"/>
          <w:shd w:val="clear" w:color="auto" w:fill="FFFFFF"/>
        </w:rPr>
        <w:t xml:space="preserve"> necesarios</w:t>
      </w:r>
      <w:r w:rsidRPr="00EE25D1">
        <w:rPr>
          <w:rFonts w:ascii="Calibri" w:hAnsi="Calibri"/>
          <w:color w:val="000000"/>
          <w:shd w:val="clear" w:color="auto" w:fill="FFFFFF"/>
        </w:rPr>
        <w:t xml:space="preserve">, recurriendo a las Administraciones o entidades de iniciativa </w:t>
      </w:r>
      <w:r w:rsidR="00793DBE" w:rsidRPr="00EE25D1">
        <w:rPr>
          <w:rFonts w:ascii="Calibri" w:hAnsi="Calibri"/>
          <w:color w:val="000000"/>
          <w:shd w:val="clear" w:color="auto" w:fill="FFFFFF"/>
        </w:rPr>
        <w:t>o</w:t>
      </w:r>
      <w:r w:rsidR="002624BC" w:rsidRPr="00EE25D1">
        <w:rPr>
          <w:rFonts w:ascii="Calibri" w:hAnsi="Calibri"/>
          <w:color w:val="000000"/>
          <w:shd w:val="clear" w:color="auto" w:fill="FFFFFF"/>
        </w:rPr>
        <w:t xml:space="preserve"> </w:t>
      </w:r>
      <w:r w:rsidRPr="00EE25D1">
        <w:rPr>
          <w:rFonts w:ascii="Calibri" w:hAnsi="Calibri"/>
          <w:color w:val="000000"/>
          <w:shd w:val="clear" w:color="auto" w:fill="FFFFFF"/>
        </w:rPr>
        <w:t>social de promoción y protección de los derechos de las personas con discapacidad.</w:t>
      </w:r>
    </w:p>
    <w:p w:rsidR="007827A5" w:rsidRPr="00EE25D1" w:rsidRDefault="002624BC" w:rsidP="00D44BF1">
      <w:pPr>
        <w:tabs>
          <w:tab w:val="left" w:pos="8505"/>
        </w:tabs>
        <w:spacing w:before="100" w:beforeAutospacing="1" w:after="100" w:afterAutospacing="1"/>
        <w:rPr>
          <w:rFonts w:ascii="Calibri" w:hAnsi="Calibri"/>
          <w:shd w:val="clear" w:color="auto" w:fill="FFFFFF"/>
        </w:rPr>
      </w:pPr>
      <w:r w:rsidRPr="00EE25D1">
        <w:rPr>
          <w:rFonts w:ascii="Calibri" w:hAnsi="Calibri"/>
          <w:color w:val="000000"/>
          <w:shd w:val="clear" w:color="auto" w:fill="FFFFFF"/>
        </w:rPr>
        <w:t xml:space="preserve">La mejor forma de escrutar este inciso es haciendo parangón con la RDGRN 29 octubre 2014, </w:t>
      </w:r>
      <w:r w:rsidR="006440A5" w:rsidRPr="00EE25D1">
        <w:rPr>
          <w:rFonts w:ascii="Calibri" w:hAnsi="Calibri"/>
          <w:color w:val="000000"/>
          <w:shd w:val="clear" w:color="auto" w:fill="FFFFFF"/>
        </w:rPr>
        <w:t>dictada estando en v</w:t>
      </w:r>
      <w:r w:rsidR="00C71F23" w:rsidRPr="00EE25D1">
        <w:rPr>
          <w:rFonts w:ascii="Calibri" w:hAnsi="Calibri"/>
          <w:color w:val="000000"/>
          <w:shd w:val="clear" w:color="auto" w:fill="FFFFFF"/>
        </w:rPr>
        <w:t xml:space="preserve">igor la redacción del </w:t>
      </w:r>
      <w:r w:rsidR="0037190C" w:rsidRPr="00EE25D1">
        <w:rPr>
          <w:rFonts w:ascii="Calibri" w:hAnsi="Calibri"/>
        </w:rPr>
        <w:t>artículo</w:t>
      </w:r>
      <w:r w:rsidR="00C71F23" w:rsidRPr="00EE25D1">
        <w:rPr>
          <w:rFonts w:ascii="Calibri" w:hAnsi="Calibri"/>
          <w:color w:val="000000"/>
          <w:shd w:val="clear" w:color="auto" w:fill="FFFFFF"/>
        </w:rPr>
        <w:t xml:space="preserve"> 56 </w:t>
      </w:r>
      <w:r w:rsidR="00C71F23" w:rsidRPr="00EE25D1">
        <w:rPr>
          <w:rFonts w:ascii="Calibri" w:hAnsi="Calibri"/>
        </w:rPr>
        <w:t>del Código Civil</w:t>
      </w:r>
      <w:r w:rsidR="006440A5" w:rsidRPr="00EE25D1">
        <w:rPr>
          <w:rFonts w:ascii="Calibri" w:hAnsi="Calibri"/>
          <w:color w:val="000000"/>
          <w:shd w:val="clear" w:color="auto" w:fill="FFFFFF"/>
        </w:rPr>
        <w:t xml:space="preserve"> dada por la Ley 30/1981, </w:t>
      </w:r>
      <w:r w:rsidRPr="00EE25D1">
        <w:rPr>
          <w:rFonts w:ascii="Calibri" w:hAnsi="Calibri"/>
          <w:color w:val="000000"/>
          <w:shd w:val="clear" w:color="auto" w:fill="FFFFFF"/>
        </w:rPr>
        <w:t>que estudió un supuesto en el</w:t>
      </w:r>
      <w:r w:rsidR="00525254" w:rsidRPr="00EE25D1">
        <w:rPr>
          <w:rFonts w:ascii="Calibri" w:hAnsi="Calibri"/>
          <w:color w:val="000000"/>
          <w:shd w:val="clear" w:color="auto" w:fill="FFFFFF"/>
        </w:rPr>
        <w:t xml:space="preserve"> que</w:t>
      </w:r>
      <w:r w:rsidRPr="00EE25D1">
        <w:rPr>
          <w:rFonts w:ascii="Calibri" w:hAnsi="Calibri"/>
          <w:color w:val="000000"/>
          <w:shd w:val="clear" w:color="auto" w:fill="FFFFFF"/>
        </w:rPr>
        <w:t xml:space="preserve"> un contrayente </w:t>
      </w:r>
      <w:r w:rsidR="00DF7C2E" w:rsidRPr="00EE25D1">
        <w:rPr>
          <w:rFonts w:ascii="Calibri" w:hAnsi="Calibri"/>
          <w:color w:val="000000"/>
          <w:shd w:val="clear" w:color="auto" w:fill="FFFFFF"/>
        </w:rPr>
        <w:t>que presentaba una</w:t>
      </w:r>
      <w:r w:rsidRPr="00EE25D1">
        <w:rPr>
          <w:rFonts w:ascii="Calibri" w:hAnsi="Calibri"/>
          <w:color w:val="000000"/>
          <w:shd w:val="clear" w:color="auto" w:fill="FFFFFF"/>
        </w:rPr>
        <w:t xml:space="preserve"> hemiplejia con afasia solo podía comunicarse apretando</w:t>
      </w:r>
      <w:r w:rsidR="00F163F1" w:rsidRPr="00EE25D1">
        <w:rPr>
          <w:rFonts w:ascii="Calibri" w:hAnsi="Calibri"/>
          <w:color w:val="000000"/>
          <w:shd w:val="clear" w:color="auto" w:fill="FFFFFF"/>
        </w:rPr>
        <w:t xml:space="preserve"> la mano izquierda, existiendo </w:t>
      </w:r>
      <w:r w:rsidRPr="00EE25D1">
        <w:rPr>
          <w:rFonts w:ascii="Calibri" w:hAnsi="Calibri"/>
          <w:color w:val="000000"/>
          <w:shd w:val="clear" w:color="auto" w:fill="FFFFFF"/>
        </w:rPr>
        <w:t>una afectación del lenguaje. Solicitado en el expediente matrimonial el dictamen médico</w:t>
      </w:r>
      <w:r w:rsidR="00385789" w:rsidRPr="00EE25D1">
        <w:rPr>
          <w:rFonts w:ascii="Calibri" w:hAnsi="Calibri"/>
          <w:color w:val="000000"/>
          <w:shd w:val="clear" w:color="auto" w:fill="FFFFFF"/>
        </w:rPr>
        <w:t>,</w:t>
      </w:r>
      <w:r w:rsidRPr="00EE25D1">
        <w:rPr>
          <w:rFonts w:ascii="Calibri" w:hAnsi="Calibri"/>
          <w:color w:val="000000"/>
          <w:shd w:val="clear" w:color="auto" w:fill="FFFFFF"/>
        </w:rPr>
        <w:t xml:space="preserve"> el mismo determinó que el contrayente no se encontraba capacitado para </w:t>
      </w:r>
      <w:r w:rsidR="00C0752D" w:rsidRPr="00EE25D1">
        <w:rPr>
          <w:rFonts w:ascii="Calibri" w:hAnsi="Calibri"/>
          <w:color w:val="000000"/>
          <w:shd w:val="clear" w:color="auto" w:fill="FFFFFF"/>
        </w:rPr>
        <w:t>dar</w:t>
      </w:r>
      <w:r w:rsidR="00DF7C2E" w:rsidRPr="00EE25D1">
        <w:rPr>
          <w:rStyle w:val="Refdenotaalpie"/>
          <w:rFonts w:ascii="Calibri" w:hAnsi="Calibri"/>
          <w:color w:val="000000"/>
          <w:shd w:val="clear" w:color="auto" w:fill="FFFFFF"/>
        </w:rPr>
        <w:footnoteReference w:id="8"/>
      </w:r>
      <w:r w:rsidRPr="00EE25D1">
        <w:rPr>
          <w:rFonts w:ascii="Calibri" w:hAnsi="Calibri"/>
          <w:color w:val="000000"/>
          <w:shd w:val="clear" w:color="auto" w:fill="FFFFFF"/>
        </w:rPr>
        <w:t xml:space="preserve"> el consentimiento, </w:t>
      </w:r>
      <w:r w:rsidR="00713CC7" w:rsidRPr="00EE25D1">
        <w:rPr>
          <w:rFonts w:ascii="Calibri" w:hAnsi="Calibri"/>
          <w:color w:val="000000"/>
          <w:shd w:val="clear" w:color="auto" w:fill="FFFFFF"/>
        </w:rPr>
        <w:t>“</w:t>
      </w:r>
      <w:r w:rsidRPr="00EE25D1">
        <w:rPr>
          <w:rFonts w:ascii="Calibri" w:hAnsi="Calibri"/>
          <w:color w:val="000000"/>
          <w:shd w:val="clear" w:color="auto" w:fill="FFFFFF"/>
        </w:rPr>
        <w:t>demostrándose incapaz de manifestar verbalmente o por otro medio sus deseos y voluntade</w:t>
      </w:r>
      <w:r w:rsidR="00525254" w:rsidRPr="00EE25D1">
        <w:rPr>
          <w:rFonts w:ascii="Calibri" w:hAnsi="Calibri"/>
          <w:color w:val="000000"/>
          <w:shd w:val="clear" w:color="auto" w:fill="FFFFFF"/>
        </w:rPr>
        <w:t>s</w:t>
      </w:r>
      <w:r w:rsidR="00713CC7" w:rsidRPr="00EE25D1">
        <w:rPr>
          <w:rFonts w:ascii="Calibri" w:hAnsi="Calibri"/>
          <w:color w:val="000000"/>
          <w:shd w:val="clear" w:color="auto" w:fill="FFFFFF"/>
        </w:rPr>
        <w:t>”</w:t>
      </w:r>
      <w:r w:rsidR="00525254" w:rsidRPr="00EE25D1">
        <w:rPr>
          <w:rFonts w:ascii="Calibri" w:hAnsi="Calibri"/>
          <w:color w:val="000000"/>
          <w:shd w:val="clear" w:color="auto" w:fill="FFFFFF"/>
        </w:rPr>
        <w:t>. Efectivamente, debido a la hemiplejia</w:t>
      </w:r>
      <w:r w:rsidRPr="00EE25D1">
        <w:rPr>
          <w:rFonts w:ascii="Calibri" w:hAnsi="Calibri"/>
          <w:color w:val="000000"/>
          <w:shd w:val="clear" w:color="auto" w:fill="FFFFFF"/>
        </w:rPr>
        <w:t xml:space="preserve"> el contrayente tenía obstáculos a la hora de articular los canales de emisión del consentimiento; sin embargo, respecto a su aptitud para prestarlo, en ningún pasaje de la citada resolución se afirma</w:t>
      </w:r>
      <w:r w:rsidR="00D70362" w:rsidRPr="00EE25D1">
        <w:rPr>
          <w:rFonts w:ascii="Calibri" w:hAnsi="Calibri"/>
          <w:color w:val="000000"/>
          <w:shd w:val="clear" w:color="auto" w:fill="FFFFFF"/>
        </w:rPr>
        <w:t>ba</w:t>
      </w:r>
      <w:r w:rsidR="00385789" w:rsidRPr="00EE25D1">
        <w:rPr>
          <w:rFonts w:ascii="Calibri" w:hAnsi="Calibri"/>
          <w:color w:val="000000"/>
          <w:shd w:val="clear" w:color="auto" w:fill="FFFFFF"/>
        </w:rPr>
        <w:t>, con perspicuidad,</w:t>
      </w:r>
      <w:r w:rsidR="00D70362" w:rsidRPr="00EE25D1">
        <w:rPr>
          <w:rFonts w:ascii="Calibri" w:hAnsi="Calibri"/>
          <w:color w:val="000000"/>
          <w:shd w:val="clear" w:color="auto" w:fill="FFFFFF"/>
        </w:rPr>
        <w:t xml:space="preserve"> que el interesado no tuviese suficientes capacidad</w:t>
      </w:r>
      <w:r w:rsidR="00525254" w:rsidRPr="00EE25D1">
        <w:rPr>
          <w:rFonts w:ascii="Calibri" w:hAnsi="Calibri"/>
          <w:color w:val="000000"/>
          <w:shd w:val="clear" w:color="auto" w:fill="FFFFFF"/>
        </w:rPr>
        <w:t>es</w:t>
      </w:r>
      <w:r w:rsidR="00D70362" w:rsidRPr="00EE25D1">
        <w:rPr>
          <w:rFonts w:ascii="Calibri" w:hAnsi="Calibri"/>
          <w:color w:val="000000"/>
          <w:shd w:val="clear" w:color="auto" w:fill="FFFFFF"/>
        </w:rPr>
        <w:t xml:space="preserve"> cognitivas</w:t>
      </w:r>
      <w:r w:rsidR="00385789" w:rsidRPr="00EE25D1">
        <w:rPr>
          <w:rFonts w:ascii="Calibri" w:hAnsi="Calibri"/>
          <w:color w:val="000000"/>
          <w:shd w:val="clear" w:color="auto" w:fill="FFFFFF"/>
        </w:rPr>
        <w:t>, intelectivas</w:t>
      </w:r>
      <w:r w:rsidR="00D70362" w:rsidRPr="00EE25D1">
        <w:rPr>
          <w:rFonts w:ascii="Calibri" w:hAnsi="Calibri"/>
          <w:color w:val="000000"/>
          <w:shd w:val="clear" w:color="auto" w:fill="FFFFFF"/>
        </w:rPr>
        <w:t xml:space="preserve"> y volitivas, concurriendo, a lo sumo, un acervo disyuntivo</w:t>
      </w:r>
      <w:r w:rsidR="006440A5" w:rsidRPr="00EE25D1">
        <w:rPr>
          <w:rFonts w:ascii="Calibri" w:hAnsi="Calibri"/>
          <w:color w:val="000000"/>
          <w:shd w:val="clear" w:color="auto" w:fill="FFFFFF"/>
        </w:rPr>
        <w:t>, que no certeza,</w:t>
      </w:r>
      <w:r w:rsidR="00D70362" w:rsidRPr="00EE25D1">
        <w:rPr>
          <w:rFonts w:ascii="Calibri" w:hAnsi="Calibri"/>
          <w:color w:val="000000"/>
          <w:shd w:val="clear" w:color="auto" w:fill="FFFFFF"/>
        </w:rPr>
        <w:t xml:space="preserve"> sobre </w:t>
      </w:r>
      <w:r w:rsidR="00525254" w:rsidRPr="00EE25D1">
        <w:rPr>
          <w:rFonts w:ascii="Calibri" w:hAnsi="Calibri"/>
          <w:color w:val="000000"/>
          <w:shd w:val="clear" w:color="auto" w:fill="FFFFFF"/>
        </w:rPr>
        <w:t>la aptitud de formar una voluntad tendente al matrimonio.</w:t>
      </w:r>
      <w:r w:rsidR="007827A5" w:rsidRPr="00EE25D1">
        <w:rPr>
          <w:rFonts w:ascii="Calibri" w:hAnsi="Calibri"/>
          <w:color w:val="000000"/>
          <w:shd w:val="clear" w:color="auto" w:fill="FFFFFF"/>
        </w:rPr>
        <w:t xml:space="preserve"> Si valoramos que </w:t>
      </w:r>
      <w:r w:rsidR="007827A5" w:rsidRPr="00EE25D1">
        <w:rPr>
          <w:rFonts w:ascii="Calibri" w:hAnsi="Calibri"/>
        </w:rPr>
        <w:t xml:space="preserve">el acta levantada por el Médico Forense decía que, por la afectación del área del lenguaje, </w:t>
      </w:r>
      <w:r w:rsidR="00713CC7" w:rsidRPr="00EE25D1">
        <w:rPr>
          <w:rFonts w:ascii="Calibri" w:hAnsi="Calibri"/>
          <w:shd w:val="clear" w:color="auto" w:fill="FFFFFF"/>
        </w:rPr>
        <w:t>“</w:t>
      </w:r>
      <w:r w:rsidR="007827A5" w:rsidRPr="00EE25D1">
        <w:rPr>
          <w:rFonts w:ascii="Calibri" w:hAnsi="Calibri"/>
          <w:shd w:val="clear" w:color="auto" w:fill="FFFFFF"/>
        </w:rPr>
        <w:t>es posible que también existan alteraciones de la comprensión y el pensamiento imposibles de determinar</w:t>
      </w:r>
      <w:r w:rsidR="00713CC7" w:rsidRPr="00EE25D1">
        <w:rPr>
          <w:rFonts w:ascii="Calibri" w:hAnsi="Calibri"/>
          <w:shd w:val="clear" w:color="auto" w:fill="FFFFFF"/>
        </w:rPr>
        <w:t>”</w:t>
      </w:r>
      <w:r w:rsidR="007827A5" w:rsidRPr="00EE25D1">
        <w:rPr>
          <w:rFonts w:ascii="Calibri" w:hAnsi="Calibri"/>
          <w:shd w:val="clear" w:color="auto" w:fill="FFFFFF"/>
        </w:rPr>
        <w:t xml:space="preserve">, y que, en caso de duda, debe abogarse por el </w:t>
      </w:r>
      <w:r w:rsidR="007827A5" w:rsidRPr="00EE25D1">
        <w:rPr>
          <w:rFonts w:ascii="Calibri" w:hAnsi="Calibri"/>
          <w:i/>
          <w:shd w:val="clear" w:color="auto" w:fill="FFFFFF"/>
        </w:rPr>
        <w:t>favor matrimonii</w:t>
      </w:r>
      <w:r w:rsidR="007827A5" w:rsidRPr="00EE25D1">
        <w:rPr>
          <w:rFonts w:ascii="Calibri" w:hAnsi="Calibri"/>
          <w:shd w:val="clear" w:color="auto" w:fill="FFFFFF"/>
        </w:rPr>
        <w:t xml:space="preserve"> de las personas con discapacidad, dado que el </w:t>
      </w:r>
      <w:r w:rsidR="007827A5" w:rsidRPr="00EE25D1">
        <w:rPr>
          <w:rFonts w:ascii="Calibri" w:hAnsi="Calibri"/>
          <w:i/>
          <w:shd w:val="clear" w:color="auto" w:fill="FFFFFF"/>
        </w:rPr>
        <w:t>ius nubendi</w:t>
      </w:r>
      <w:r w:rsidR="007827A5" w:rsidRPr="00EE25D1">
        <w:rPr>
          <w:rFonts w:ascii="Calibri" w:hAnsi="Calibri"/>
          <w:shd w:val="clear" w:color="auto" w:fill="FFFFFF"/>
        </w:rPr>
        <w:t xml:space="preserve"> no puede ser objeto de una interpretación restrictiva, la conclusión es que si los hechos que fueron analizados por la </w:t>
      </w:r>
      <w:r w:rsidR="007827A5" w:rsidRPr="00EE25D1">
        <w:rPr>
          <w:rFonts w:ascii="Calibri" w:hAnsi="Calibri"/>
          <w:color w:val="000000"/>
          <w:shd w:val="clear" w:color="auto" w:fill="FFFFFF"/>
        </w:rPr>
        <w:t>RDGRN 29 octubre 2014 se hubieran producido una vez que entró en vigor la</w:t>
      </w:r>
      <w:r w:rsidR="00C71F23" w:rsidRPr="00EE25D1">
        <w:rPr>
          <w:rFonts w:ascii="Calibri" w:hAnsi="Calibri"/>
          <w:color w:val="000000"/>
          <w:shd w:val="clear" w:color="auto" w:fill="FFFFFF"/>
        </w:rPr>
        <w:t xml:space="preserve"> actual redacción del </w:t>
      </w:r>
      <w:r w:rsidR="0037190C" w:rsidRPr="00EE25D1">
        <w:rPr>
          <w:rFonts w:ascii="Calibri" w:hAnsi="Calibri"/>
        </w:rPr>
        <w:t>artículo</w:t>
      </w:r>
      <w:r w:rsidR="00C71F23" w:rsidRPr="00EE25D1">
        <w:rPr>
          <w:rFonts w:ascii="Calibri" w:hAnsi="Calibri"/>
          <w:color w:val="000000"/>
          <w:shd w:val="clear" w:color="auto" w:fill="FFFFFF"/>
        </w:rPr>
        <w:t xml:space="preserve"> 56 </w:t>
      </w:r>
      <w:r w:rsidR="00C71F23" w:rsidRPr="00EE25D1">
        <w:rPr>
          <w:rFonts w:ascii="Calibri" w:hAnsi="Calibri"/>
        </w:rPr>
        <w:t>del Código Civil</w:t>
      </w:r>
      <w:r w:rsidR="007827A5" w:rsidRPr="00EE25D1">
        <w:rPr>
          <w:rFonts w:ascii="Calibri" w:hAnsi="Calibri"/>
          <w:color w:val="000000"/>
          <w:shd w:val="clear" w:color="auto" w:fill="FFFFFF"/>
        </w:rPr>
        <w:t>, dicho matrimonio, posiblemente, se habría autorizado, al socaire de que al contrayente con hemiplejia se le habría</w:t>
      </w:r>
      <w:r w:rsidR="000B17B5" w:rsidRPr="00EE25D1">
        <w:rPr>
          <w:rFonts w:ascii="Calibri" w:hAnsi="Calibri"/>
          <w:color w:val="000000"/>
          <w:shd w:val="clear" w:color="auto" w:fill="FFFFFF"/>
        </w:rPr>
        <w:t>n</w:t>
      </w:r>
      <w:r w:rsidR="007827A5" w:rsidRPr="00EE25D1">
        <w:rPr>
          <w:rFonts w:ascii="Calibri" w:hAnsi="Calibri"/>
          <w:color w:val="000000"/>
          <w:shd w:val="clear" w:color="auto" w:fill="FFFFFF"/>
        </w:rPr>
        <w:t xml:space="preserve"> dispensado los apoyos necesarios en la empresa de </w:t>
      </w:r>
      <w:r w:rsidR="00C0752D" w:rsidRPr="00EE25D1">
        <w:rPr>
          <w:rFonts w:ascii="Calibri" w:hAnsi="Calibri"/>
          <w:color w:val="000000"/>
          <w:shd w:val="clear" w:color="auto" w:fill="FFFFFF"/>
        </w:rPr>
        <w:t>poder vehiculizar</w:t>
      </w:r>
      <w:r w:rsidR="007827A5" w:rsidRPr="00EE25D1">
        <w:rPr>
          <w:rFonts w:ascii="Calibri" w:hAnsi="Calibri"/>
          <w:color w:val="000000"/>
          <w:shd w:val="clear" w:color="auto" w:fill="FFFFFF"/>
        </w:rPr>
        <w:t xml:space="preserve"> su voluntad, o en palabras de la </w:t>
      </w:r>
      <w:r w:rsidR="007827A5" w:rsidRPr="00EE25D1">
        <w:rPr>
          <w:rFonts w:ascii="Calibri" w:hAnsi="Calibri"/>
          <w:i/>
          <w:color w:val="000000"/>
          <w:shd w:val="clear" w:color="auto" w:fill="FFFFFF"/>
        </w:rPr>
        <w:t>dictio legis</w:t>
      </w:r>
      <w:r w:rsidR="007827A5" w:rsidRPr="00EE25D1">
        <w:rPr>
          <w:rFonts w:ascii="Calibri" w:hAnsi="Calibri"/>
          <w:color w:val="000000"/>
          <w:shd w:val="clear" w:color="auto" w:fill="FFFFFF"/>
        </w:rPr>
        <w:t xml:space="preserve">, de facilitar </w:t>
      </w:r>
      <w:r w:rsidR="00713CC7" w:rsidRPr="00EE25D1">
        <w:rPr>
          <w:rFonts w:ascii="Calibri" w:hAnsi="Calibri"/>
          <w:color w:val="000000"/>
          <w:shd w:val="clear" w:color="auto" w:fill="FFFFFF"/>
        </w:rPr>
        <w:t>“</w:t>
      </w:r>
      <w:r w:rsidR="007827A5" w:rsidRPr="00EE25D1">
        <w:rPr>
          <w:rFonts w:ascii="Calibri" w:hAnsi="Calibri"/>
          <w:color w:val="000000"/>
          <w:shd w:val="clear" w:color="auto" w:fill="FFFFFF"/>
        </w:rPr>
        <w:t>la emisión, interpretación y recepción del consentimiento</w:t>
      </w:r>
      <w:r w:rsidR="00713CC7" w:rsidRPr="00EE25D1">
        <w:rPr>
          <w:rFonts w:ascii="Calibri" w:hAnsi="Calibri"/>
          <w:color w:val="000000"/>
          <w:shd w:val="clear" w:color="auto" w:fill="FFFFFF"/>
        </w:rPr>
        <w:t>”</w:t>
      </w:r>
      <w:r w:rsidR="004936C0" w:rsidRPr="00EE25D1">
        <w:rPr>
          <w:rStyle w:val="Refdenotaalpie"/>
          <w:rFonts w:ascii="Calibri" w:hAnsi="Calibri"/>
          <w:color w:val="000000"/>
          <w:shd w:val="clear" w:color="auto" w:fill="FFFFFF"/>
        </w:rPr>
        <w:footnoteReference w:id="9"/>
      </w:r>
      <w:r w:rsidR="007827A5" w:rsidRPr="00EE25D1">
        <w:rPr>
          <w:rFonts w:ascii="Calibri" w:hAnsi="Calibri"/>
          <w:color w:val="000000"/>
          <w:shd w:val="clear" w:color="auto" w:fill="FFFFFF"/>
        </w:rPr>
        <w:t>.</w:t>
      </w:r>
    </w:p>
    <w:p w:rsidR="002624BC" w:rsidRPr="00EE25D1" w:rsidRDefault="007827A5" w:rsidP="00D44BF1">
      <w:pPr>
        <w:tabs>
          <w:tab w:val="left" w:pos="8505"/>
        </w:tabs>
        <w:spacing w:before="100" w:beforeAutospacing="1" w:after="100" w:afterAutospacing="1"/>
        <w:rPr>
          <w:rFonts w:ascii="Calibri" w:hAnsi="Calibri"/>
          <w:color w:val="000000"/>
          <w:shd w:val="clear" w:color="auto" w:fill="FFFFFF"/>
        </w:rPr>
      </w:pPr>
      <w:r w:rsidRPr="00EE25D1">
        <w:rPr>
          <w:rFonts w:ascii="Calibri" w:hAnsi="Calibri"/>
          <w:color w:val="000000"/>
          <w:shd w:val="clear" w:color="auto" w:fill="FFFFFF"/>
        </w:rPr>
        <w:t>Por ello, respecto a los supuestos de</w:t>
      </w:r>
      <w:r w:rsidR="00525254" w:rsidRPr="00EE25D1">
        <w:rPr>
          <w:rFonts w:ascii="Calibri" w:hAnsi="Calibri"/>
          <w:color w:val="000000"/>
          <w:shd w:val="clear" w:color="auto" w:fill="FFFFFF"/>
        </w:rPr>
        <w:t xml:space="preserve"> discapacidad</w:t>
      </w:r>
      <w:r w:rsidR="009E359D" w:rsidRPr="00EE25D1">
        <w:rPr>
          <w:rFonts w:ascii="Calibri" w:hAnsi="Calibri"/>
          <w:color w:val="000000"/>
          <w:shd w:val="clear" w:color="auto" w:fill="FFFFFF"/>
        </w:rPr>
        <w:t xml:space="preserve"> física o</w:t>
      </w:r>
      <w:r w:rsidR="00525254" w:rsidRPr="00EE25D1">
        <w:rPr>
          <w:rFonts w:ascii="Calibri" w:hAnsi="Calibri"/>
          <w:color w:val="000000"/>
          <w:shd w:val="clear" w:color="auto" w:fill="FFFFFF"/>
        </w:rPr>
        <w:t xml:space="preserve"> sensorial, consideramos que </w:t>
      </w:r>
      <w:r w:rsidR="00D70362" w:rsidRPr="00EE25D1">
        <w:rPr>
          <w:rFonts w:ascii="Calibri" w:hAnsi="Calibri"/>
          <w:color w:val="000000"/>
          <w:shd w:val="clear" w:color="auto" w:fill="FFFFFF"/>
        </w:rPr>
        <w:t xml:space="preserve">la reforma supone un avance, en tanto en cuanto </w:t>
      </w:r>
      <w:r w:rsidR="00525254" w:rsidRPr="00EE25D1">
        <w:rPr>
          <w:rFonts w:ascii="Calibri" w:hAnsi="Calibri"/>
          <w:color w:val="000000"/>
          <w:shd w:val="clear" w:color="auto" w:fill="FFFFFF"/>
        </w:rPr>
        <w:t>facilita</w:t>
      </w:r>
      <w:r w:rsidR="00D70362" w:rsidRPr="00EE25D1">
        <w:rPr>
          <w:rFonts w:ascii="Calibri" w:hAnsi="Calibri"/>
          <w:color w:val="000000"/>
          <w:shd w:val="clear" w:color="auto" w:fill="FFFFFF"/>
        </w:rPr>
        <w:t xml:space="preserve"> los mecanismos necesarios para que las personas con </w:t>
      </w:r>
      <w:r w:rsidRPr="00EE25D1">
        <w:rPr>
          <w:rFonts w:ascii="Calibri" w:hAnsi="Calibri"/>
          <w:color w:val="000000"/>
          <w:shd w:val="clear" w:color="auto" w:fill="FFFFFF"/>
        </w:rPr>
        <w:t>este tipo de discapacidad</w:t>
      </w:r>
      <w:r w:rsidR="00D70362" w:rsidRPr="00EE25D1">
        <w:rPr>
          <w:rFonts w:ascii="Calibri" w:hAnsi="Calibri"/>
          <w:color w:val="000000"/>
          <w:shd w:val="clear" w:color="auto" w:fill="FFFFFF"/>
        </w:rPr>
        <w:t xml:space="preserve"> no puedan ver coartado su derecho a contraer matrimonio por meros obstáculos o impediment</w:t>
      </w:r>
      <w:r w:rsidR="00525254" w:rsidRPr="00EE25D1">
        <w:rPr>
          <w:rFonts w:ascii="Calibri" w:hAnsi="Calibri"/>
          <w:color w:val="000000"/>
          <w:shd w:val="clear" w:color="auto" w:fill="FFFFFF"/>
        </w:rPr>
        <w:t xml:space="preserve">os a la hora de exteriorizar </w:t>
      </w:r>
      <w:r w:rsidR="009E359D" w:rsidRPr="00EE25D1">
        <w:rPr>
          <w:rFonts w:ascii="Calibri" w:hAnsi="Calibri"/>
          <w:color w:val="000000"/>
          <w:shd w:val="clear" w:color="auto" w:fill="FFFFFF"/>
        </w:rPr>
        <w:t>su</w:t>
      </w:r>
      <w:r w:rsidR="00D70362" w:rsidRPr="00EE25D1">
        <w:rPr>
          <w:rFonts w:ascii="Calibri" w:hAnsi="Calibri"/>
          <w:color w:val="000000"/>
          <w:shd w:val="clear" w:color="auto" w:fill="FFFFFF"/>
        </w:rPr>
        <w:t xml:space="preserve"> declaración de voluntad. </w:t>
      </w:r>
    </w:p>
    <w:p w:rsidR="00D31805" w:rsidRPr="00EE25D1" w:rsidRDefault="00C02EF1" w:rsidP="00D44BF1">
      <w:pPr>
        <w:tabs>
          <w:tab w:val="left" w:pos="8505"/>
        </w:tabs>
        <w:spacing w:before="100" w:beforeAutospacing="1" w:after="100" w:afterAutospacing="1"/>
        <w:rPr>
          <w:rFonts w:ascii="Calibri" w:hAnsi="Calibri"/>
          <w:b/>
          <w:color w:val="000000"/>
          <w:shd w:val="clear" w:color="auto" w:fill="FFFFFF"/>
        </w:rPr>
      </w:pPr>
      <w:r w:rsidRPr="00EE25D1">
        <w:rPr>
          <w:rFonts w:ascii="Calibri" w:hAnsi="Calibri"/>
          <w:b/>
          <w:color w:val="000000"/>
          <w:shd w:val="clear" w:color="auto" w:fill="FFFFFF"/>
        </w:rPr>
        <w:t>2.2.2.</w:t>
      </w:r>
      <w:r w:rsidR="00D31805" w:rsidRPr="00EE25D1">
        <w:rPr>
          <w:rFonts w:ascii="Calibri" w:hAnsi="Calibri"/>
          <w:b/>
          <w:color w:val="000000"/>
          <w:shd w:val="clear" w:color="auto" w:fill="FFFFFF"/>
        </w:rPr>
        <w:t xml:space="preserve"> Contrayentes con discapacidad psíquica</w:t>
      </w:r>
      <w:r w:rsidR="00991D92" w:rsidRPr="00EE25D1">
        <w:rPr>
          <w:rFonts w:ascii="Calibri" w:hAnsi="Calibri"/>
          <w:b/>
          <w:color w:val="000000"/>
          <w:shd w:val="clear" w:color="auto" w:fill="FFFFFF"/>
        </w:rPr>
        <w:t>, intelectual o mental</w:t>
      </w:r>
    </w:p>
    <w:p w:rsidR="00334E87" w:rsidRPr="00EE25D1" w:rsidRDefault="00334E87" w:rsidP="00D44BF1">
      <w:pPr>
        <w:tabs>
          <w:tab w:val="left" w:pos="8505"/>
        </w:tabs>
        <w:spacing w:before="100" w:beforeAutospacing="1" w:after="100" w:afterAutospacing="1"/>
        <w:rPr>
          <w:rFonts w:ascii="Calibri" w:hAnsi="Calibri"/>
          <w:color w:val="000000"/>
          <w:shd w:val="clear" w:color="auto" w:fill="FFFFFF"/>
        </w:rPr>
      </w:pPr>
      <w:r w:rsidRPr="00EE25D1">
        <w:rPr>
          <w:rFonts w:ascii="Calibri" w:hAnsi="Calibri"/>
          <w:color w:val="000000"/>
          <w:shd w:val="clear" w:color="auto" w:fill="FFFFFF"/>
        </w:rPr>
        <w:t>Sin embargo, la segunda parte de</w:t>
      </w:r>
      <w:r w:rsidR="00C71F23" w:rsidRPr="00EE25D1">
        <w:rPr>
          <w:rFonts w:ascii="Calibri" w:hAnsi="Calibri"/>
          <w:color w:val="000000"/>
          <w:shd w:val="clear" w:color="auto" w:fill="FFFFFF"/>
        </w:rPr>
        <w:t xml:space="preserve">l segundo párrafo del </w:t>
      </w:r>
      <w:r w:rsidR="0037190C" w:rsidRPr="00EE25D1">
        <w:rPr>
          <w:rFonts w:ascii="Calibri" w:hAnsi="Calibri"/>
        </w:rPr>
        <w:t>artículo</w:t>
      </w:r>
      <w:r w:rsidR="00C71F23" w:rsidRPr="00EE25D1">
        <w:rPr>
          <w:rFonts w:ascii="Calibri" w:hAnsi="Calibri"/>
          <w:color w:val="000000"/>
          <w:shd w:val="clear" w:color="auto" w:fill="FFFFFF"/>
        </w:rPr>
        <w:t xml:space="preserve"> 56 </w:t>
      </w:r>
      <w:r w:rsidR="00C71F23" w:rsidRPr="00EE25D1">
        <w:rPr>
          <w:rFonts w:ascii="Calibri" w:hAnsi="Calibri"/>
        </w:rPr>
        <w:t>del Código Civil</w:t>
      </w:r>
      <w:r w:rsidRPr="00EE25D1">
        <w:rPr>
          <w:rFonts w:ascii="Calibri" w:hAnsi="Calibri"/>
          <w:color w:val="000000"/>
          <w:shd w:val="clear" w:color="auto" w:fill="FFFFFF"/>
        </w:rPr>
        <w:t xml:space="preserve"> </w:t>
      </w:r>
      <w:r w:rsidR="00525254" w:rsidRPr="00EE25D1">
        <w:rPr>
          <w:rFonts w:ascii="Calibri" w:hAnsi="Calibri"/>
          <w:color w:val="000000"/>
          <w:shd w:val="clear" w:color="auto" w:fill="FFFFFF"/>
        </w:rPr>
        <w:t>será acreedor</w:t>
      </w:r>
      <w:r w:rsidR="00CA500F" w:rsidRPr="00EE25D1">
        <w:rPr>
          <w:rFonts w:ascii="Calibri" w:hAnsi="Calibri"/>
          <w:color w:val="000000"/>
          <w:shd w:val="clear" w:color="auto" w:fill="FFFFFF"/>
        </w:rPr>
        <w:t>a</w:t>
      </w:r>
      <w:r w:rsidR="00525254" w:rsidRPr="00EE25D1">
        <w:rPr>
          <w:rFonts w:ascii="Calibri" w:hAnsi="Calibri"/>
          <w:color w:val="000000"/>
          <w:shd w:val="clear" w:color="auto" w:fill="FFFFFF"/>
        </w:rPr>
        <w:t xml:space="preserve"> de críticas. </w:t>
      </w:r>
      <w:r w:rsidR="00D31805" w:rsidRPr="00EE25D1">
        <w:rPr>
          <w:rFonts w:ascii="Calibri" w:hAnsi="Calibri"/>
          <w:color w:val="000000"/>
          <w:shd w:val="clear" w:color="auto" w:fill="FFFFFF"/>
        </w:rPr>
        <w:t>El mismo hace referencia a que, excepcionalmente, cuando</w:t>
      </w:r>
      <w:r w:rsidR="00C0752D" w:rsidRPr="00EE25D1">
        <w:rPr>
          <w:rFonts w:ascii="Calibri" w:hAnsi="Calibri"/>
          <w:color w:val="000000"/>
          <w:shd w:val="clear" w:color="auto" w:fill="FFFFFF"/>
        </w:rPr>
        <w:t xml:space="preserve"> un</w:t>
      </w:r>
      <w:r w:rsidR="00D31805" w:rsidRPr="00EE25D1">
        <w:rPr>
          <w:rFonts w:ascii="Calibri" w:hAnsi="Calibri"/>
          <w:color w:val="000000"/>
          <w:shd w:val="clear" w:color="auto" w:fill="FFFFFF"/>
        </w:rPr>
        <w:t xml:space="preserve"> contrayente presentare una </w:t>
      </w:r>
      <w:r w:rsidR="00713CC7" w:rsidRPr="00EE25D1">
        <w:rPr>
          <w:rFonts w:ascii="Calibri" w:hAnsi="Calibri"/>
          <w:color w:val="000000"/>
          <w:shd w:val="clear" w:color="auto" w:fill="FFFFFF"/>
        </w:rPr>
        <w:t>“</w:t>
      </w:r>
      <w:r w:rsidR="00D31805" w:rsidRPr="00EE25D1">
        <w:rPr>
          <w:rFonts w:ascii="Calibri" w:hAnsi="Calibri"/>
          <w:color w:val="000000"/>
          <w:shd w:val="clear" w:color="auto" w:fill="FFFFFF"/>
        </w:rPr>
        <w:t>condición de salud</w:t>
      </w:r>
      <w:r w:rsidR="00713CC7" w:rsidRPr="00EE25D1">
        <w:rPr>
          <w:rFonts w:ascii="Calibri" w:hAnsi="Calibri"/>
          <w:color w:val="000000"/>
          <w:shd w:val="clear" w:color="auto" w:fill="FFFFFF"/>
        </w:rPr>
        <w:t>”</w:t>
      </w:r>
      <w:r w:rsidR="00D31805" w:rsidRPr="00EE25D1">
        <w:rPr>
          <w:rFonts w:ascii="Calibri" w:hAnsi="Calibri"/>
          <w:color w:val="000000"/>
          <w:shd w:val="clear" w:color="auto" w:fill="FFFFFF"/>
        </w:rPr>
        <w:t xml:space="preserve"> que, de modo evidente, categórico y sustancial, pueda impedirle prestar el consentimiento</w:t>
      </w:r>
      <w:r w:rsidR="000B17B5" w:rsidRPr="00EE25D1">
        <w:rPr>
          <w:rFonts w:ascii="Calibri" w:hAnsi="Calibri"/>
          <w:color w:val="000000"/>
          <w:shd w:val="clear" w:color="auto" w:fill="FFFFFF"/>
        </w:rPr>
        <w:t xml:space="preserve"> m</w:t>
      </w:r>
      <w:r w:rsidR="00385789" w:rsidRPr="00EE25D1">
        <w:rPr>
          <w:rFonts w:ascii="Calibri" w:hAnsi="Calibri"/>
          <w:color w:val="000000"/>
          <w:shd w:val="clear" w:color="auto" w:fill="FFFFFF"/>
        </w:rPr>
        <w:t>atrimonial, pese a los apoyos, se recabará el dictamen médico.</w:t>
      </w:r>
      <w:r w:rsidR="00D31805" w:rsidRPr="00EE25D1">
        <w:rPr>
          <w:rFonts w:ascii="Calibri" w:hAnsi="Calibri"/>
          <w:color w:val="000000"/>
          <w:shd w:val="clear" w:color="auto" w:fill="FFFFFF"/>
        </w:rPr>
        <w:t xml:space="preserve"> La expresión entrecomillada es extraordinariamente ambigua y no rinde tributo al carácter literosuficiente que, a nuestro juicio, debiera tener el precepto </w:t>
      </w:r>
      <w:r w:rsidR="00FE7784" w:rsidRPr="00EE25D1">
        <w:rPr>
          <w:rFonts w:ascii="Calibri" w:hAnsi="Calibri"/>
          <w:color w:val="000000"/>
          <w:shd w:val="clear" w:color="auto" w:fill="FFFFFF"/>
        </w:rPr>
        <w:t xml:space="preserve">legal a tenor del </w:t>
      </w:r>
      <w:r w:rsidR="00545FB7" w:rsidRPr="00EE25D1">
        <w:rPr>
          <w:rFonts w:ascii="Calibri" w:hAnsi="Calibri"/>
          <w:color w:val="000000"/>
          <w:shd w:val="clear" w:color="auto" w:fill="FFFFFF"/>
        </w:rPr>
        <w:t xml:space="preserve">principio de seguridad jurídica </w:t>
      </w:r>
      <w:r w:rsidR="00FE7784" w:rsidRPr="00EE25D1">
        <w:rPr>
          <w:rFonts w:ascii="Calibri" w:hAnsi="Calibri"/>
          <w:color w:val="000000"/>
          <w:shd w:val="clear" w:color="auto" w:fill="FFFFFF"/>
        </w:rPr>
        <w:t>(</w:t>
      </w:r>
      <w:r w:rsidR="00545FB7" w:rsidRPr="00EE25D1">
        <w:rPr>
          <w:rFonts w:ascii="Calibri" w:hAnsi="Calibri"/>
        </w:rPr>
        <w:t>art.</w:t>
      </w:r>
      <w:r w:rsidR="00545FB7" w:rsidRPr="00EE25D1">
        <w:rPr>
          <w:rFonts w:ascii="Calibri" w:hAnsi="Calibri"/>
          <w:color w:val="000000"/>
          <w:shd w:val="clear" w:color="auto" w:fill="FFFFFF"/>
        </w:rPr>
        <w:t xml:space="preserve"> </w:t>
      </w:r>
      <w:r w:rsidR="00FE7784" w:rsidRPr="00EE25D1">
        <w:rPr>
          <w:rFonts w:ascii="Calibri" w:hAnsi="Calibri"/>
          <w:color w:val="000000"/>
          <w:shd w:val="clear" w:color="auto" w:fill="FFFFFF"/>
        </w:rPr>
        <w:t>9.3 CE)</w:t>
      </w:r>
      <w:r w:rsidR="0026580A" w:rsidRPr="00EE25D1">
        <w:rPr>
          <w:rFonts w:ascii="Calibri" w:hAnsi="Calibri"/>
          <w:color w:val="000000"/>
          <w:shd w:val="clear" w:color="auto" w:fill="FFFFFF"/>
        </w:rPr>
        <w:t>. El jurista atento podrá</w:t>
      </w:r>
      <w:r w:rsidR="00534685" w:rsidRPr="00EE25D1">
        <w:rPr>
          <w:rFonts w:ascii="Calibri" w:hAnsi="Calibri"/>
          <w:color w:val="000000"/>
          <w:shd w:val="clear" w:color="auto" w:fill="FFFFFF"/>
        </w:rPr>
        <w:t xml:space="preserve"> descartar que la expresión </w:t>
      </w:r>
      <w:r w:rsidR="00713CC7" w:rsidRPr="00EE25D1">
        <w:rPr>
          <w:rFonts w:ascii="Calibri" w:hAnsi="Calibri"/>
          <w:color w:val="000000"/>
          <w:shd w:val="clear" w:color="auto" w:fill="FFFFFF"/>
        </w:rPr>
        <w:t>“</w:t>
      </w:r>
      <w:r w:rsidR="00534685" w:rsidRPr="00EE25D1">
        <w:rPr>
          <w:rFonts w:ascii="Calibri" w:hAnsi="Calibri"/>
          <w:color w:val="000000"/>
          <w:shd w:val="clear" w:color="auto" w:fill="FFFFFF"/>
        </w:rPr>
        <w:t>condición de salud</w:t>
      </w:r>
      <w:r w:rsidR="00713CC7" w:rsidRPr="00EE25D1">
        <w:rPr>
          <w:rFonts w:ascii="Calibri" w:hAnsi="Calibri"/>
          <w:color w:val="000000"/>
          <w:shd w:val="clear" w:color="auto" w:fill="FFFFFF"/>
        </w:rPr>
        <w:t>”</w:t>
      </w:r>
      <w:r w:rsidR="00534685" w:rsidRPr="00EE25D1">
        <w:rPr>
          <w:rFonts w:ascii="Calibri" w:hAnsi="Calibri"/>
          <w:color w:val="000000"/>
          <w:shd w:val="clear" w:color="auto" w:fill="FFFFFF"/>
        </w:rPr>
        <w:t xml:space="preserve"> no debe hilvanarse con la discapacidad </w:t>
      </w:r>
      <w:r w:rsidR="00385789" w:rsidRPr="00EE25D1">
        <w:rPr>
          <w:rFonts w:ascii="Calibri" w:hAnsi="Calibri"/>
          <w:color w:val="000000"/>
          <w:shd w:val="clear" w:color="auto" w:fill="FFFFFF"/>
        </w:rPr>
        <w:t>física o sensorial o con</w:t>
      </w:r>
      <w:r w:rsidR="00534685" w:rsidRPr="00EE25D1">
        <w:rPr>
          <w:rFonts w:ascii="Calibri" w:hAnsi="Calibri"/>
          <w:color w:val="000000"/>
          <w:shd w:val="clear" w:color="auto" w:fill="FFFFFF"/>
        </w:rPr>
        <w:t xml:space="preserve"> los canales que permiten vehiculizar el consentimiento matrimonial que, previamente, ha formado el contrayente, toda vez que esos supuestos se subsumen en el ámbito de aplicación de la primera parte del</w:t>
      </w:r>
      <w:r w:rsidR="0026580A" w:rsidRPr="00EE25D1">
        <w:rPr>
          <w:rFonts w:ascii="Calibri" w:hAnsi="Calibri"/>
          <w:color w:val="000000"/>
          <w:shd w:val="clear" w:color="auto" w:fill="FFFFFF"/>
        </w:rPr>
        <w:t xml:space="preserve"> segundo párrafo del</w:t>
      </w:r>
      <w:r w:rsidR="00C71F23" w:rsidRPr="00EE25D1">
        <w:rPr>
          <w:rFonts w:ascii="Calibri" w:hAnsi="Calibri"/>
          <w:color w:val="000000"/>
          <w:shd w:val="clear" w:color="auto" w:fill="FFFFFF"/>
        </w:rPr>
        <w:t xml:space="preserve"> </w:t>
      </w:r>
      <w:r w:rsidR="0037190C" w:rsidRPr="00EE25D1">
        <w:rPr>
          <w:rFonts w:ascii="Calibri" w:hAnsi="Calibri"/>
        </w:rPr>
        <w:t>artículo</w:t>
      </w:r>
      <w:r w:rsidR="00C71F23" w:rsidRPr="00EE25D1">
        <w:rPr>
          <w:rFonts w:ascii="Calibri" w:hAnsi="Calibri"/>
          <w:color w:val="000000"/>
          <w:shd w:val="clear" w:color="auto" w:fill="FFFFFF"/>
        </w:rPr>
        <w:t xml:space="preserve"> 56 </w:t>
      </w:r>
      <w:r w:rsidR="00C71F23" w:rsidRPr="00EE25D1">
        <w:rPr>
          <w:rFonts w:ascii="Calibri" w:hAnsi="Calibri"/>
        </w:rPr>
        <w:t>del Código Civil</w:t>
      </w:r>
      <w:r w:rsidR="00385789" w:rsidRPr="00EE25D1">
        <w:rPr>
          <w:rFonts w:ascii="Calibri" w:hAnsi="Calibri"/>
          <w:color w:val="000000"/>
          <w:shd w:val="clear" w:color="auto" w:fill="FFFFFF"/>
        </w:rPr>
        <w:t xml:space="preserve">, al cual </w:t>
      </w:r>
      <w:r w:rsidR="00534685" w:rsidRPr="00EE25D1">
        <w:rPr>
          <w:rFonts w:ascii="Calibri" w:hAnsi="Calibri"/>
          <w:color w:val="000000"/>
          <w:shd w:val="clear" w:color="auto" w:fill="FFFFFF"/>
        </w:rPr>
        <w:t xml:space="preserve">nos hemos referido </w:t>
      </w:r>
      <w:r w:rsidR="00534685" w:rsidRPr="00EE25D1">
        <w:rPr>
          <w:rFonts w:ascii="Calibri" w:hAnsi="Calibri"/>
          <w:i/>
          <w:color w:val="000000"/>
          <w:shd w:val="clear" w:color="auto" w:fill="FFFFFF"/>
        </w:rPr>
        <w:t>supra</w:t>
      </w:r>
      <w:r w:rsidR="00C0752D" w:rsidRPr="00EE25D1">
        <w:rPr>
          <w:rFonts w:ascii="Calibri" w:hAnsi="Calibri"/>
          <w:color w:val="000000"/>
          <w:shd w:val="clear" w:color="auto" w:fill="FFFFFF"/>
        </w:rPr>
        <w:t>. No obstante, late la siguiente incógnita: ¿Q</w:t>
      </w:r>
      <w:r w:rsidR="00534685" w:rsidRPr="00EE25D1">
        <w:rPr>
          <w:rFonts w:ascii="Calibri" w:hAnsi="Calibri"/>
          <w:color w:val="000000"/>
          <w:shd w:val="clear" w:color="auto" w:fill="FFFFFF"/>
        </w:rPr>
        <w:t xml:space="preserve">ué significa </w:t>
      </w:r>
      <w:r w:rsidR="00713CC7" w:rsidRPr="00EE25D1">
        <w:rPr>
          <w:rFonts w:ascii="Calibri" w:hAnsi="Calibri"/>
          <w:color w:val="000000"/>
          <w:shd w:val="clear" w:color="auto" w:fill="FFFFFF"/>
        </w:rPr>
        <w:t>“</w:t>
      </w:r>
      <w:r w:rsidR="00534685" w:rsidRPr="00EE25D1">
        <w:rPr>
          <w:rFonts w:ascii="Calibri" w:hAnsi="Calibri"/>
          <w:color w:val="000000"/>
          <w:shd w:val="clear" w:color="auto" w:fill="FFFFFF"/>
        </w:rPr>
        <w:t>condición de salud</w:t>
      </w:r>
      <w:r w:rsidR="00713CC7" w:rsidRPr="00EE25D1">
        <w:rPr>
          <w:rFonts w:ascii="Calibri" w:hAnsi="Calibri"/>
          <w:color w:val="000000"/>
          <w:shd w:val="clear" w:color="auto" w:fill="FFFFFF"/>
        </w:rPr>
        <w:t>”</w:t>
      </w:r>
      <w:r w:rsidR="00534685" w:rsidRPr="00EE25D1">
        <w:rPr>
          <w:rFonts w:ascii="Calibri" w:hAnsi="Calibri"/>
          <w:color w:val="000000"/>
          <w:shd w:val="clear" w:color="auto" w:fill="FFFFFF"/>
        </w:rPr>
        <w:t xml:space="preserve"> que impida </w:t>
      </w:r>
      <w:r w:rsidR="00713CC7" w:rsidRPr="00EE25D1">
        <w:rPr>
          <w:rFonts w:ascii="Calibri" w:hAnsi="Calibri"/>
          <w:color w:val="000000"/>
          <w:shd w:val="clear" w:color="auto" w:fill="FFFFFF"/>
        </w:rPr>
        <w:t>“</w:t>
      </w:r>
      <w:r w:rsidR="00534685" w:rsidRPr="00EE25D1">
        <w:rPr>
          <w:rFonts w:ascii="Calibri" w:hAnsi="Calibri"/>
          <w:color w:val="000000"/>
          <w:shd w:val="clear" w:color="auto" w:fill="FFFFFF"/>
        </w:rPr>
        <w:t>prestar</w:t>
      </w:r>
      <w:r w:rsidR="00713CC7" w:rsidRPr="00EE25D1">
        <w:rPr>
          <w:rFonts w:ascii="Calibri" w:hAnsi="Calibri"/>
          <w:color w:val="000000"/>
          <w:shd w:val="clear" w:color="auto" w:fill="FFFFFF"/>
        </w:rPr>
        <w:t>”</w:t>
      </w:r>
      <w:r w:rsidR="00534685" w:rsidRPr="00EE25D1">
        <w:rPr>
          <w:rFonts w:ascii="Calibri" w:hAnsi="Calibri"/>
          <w:color w:val="000000"/>
          <w:shd w:val="clear" w:color="auto" w:fill="FFFFFF"/>
        </w:rPr>
        <w:t xml:space="preserve"> el consentimiento matrimonial? O</w:t>
      </w:r>
      <w:r w:rsidR="00C0752D" w:rsidRPr="00EE25D1">
        <w:rPr>
          <w:rFonts w:ascii="Calibri" w:hAnsi="Calibri"/>
          <w:color w:val="000000"/>
          <w:shd w:val="clear" w:color="auto" w:fill="FFFFFF"/>
        </w:rPr>
        <w:t xml:space="preserve"> dicho de otro modo ¿L</w:t>
      </w:r>
      <w:r w:rsidR="00534685" w:rsidRPr="00EE25D1">
        <w:rPr>
          <w:rFonts w:ascii="Calibri" w:hAnsi="Calibri"/>
          <w:color w:val="000000"/>
          <w:shd w:val="clear" w:color="auto" w:fill="FFFFFF"/>
        </w:rPr>
        <w:t xml:space="preserve">a condición de salud tiene que repercutir en la exteriorización de </w:t>
      </w:r>
      <w:r w:rsidR="0026580A" w:rsidRPr="00EE25D1">
        <w:rPr>
          <w:rFonts w:ascii="Calibri" w:hAnsi="Calibri"/>
          <w:color w:val="000000"/>
          <w:shd w:val="clear" w:color="auto" w:fill="FFFFFF"/>
        </w:rPr>
        <w:t xml:space="preserve">la </w:t>
      </w:r>
      <w:r w:rsidR="00534685" w:rsidRPr="00EE25D1">
        <w:rPr>
          <w:rFonts w:ascii="Calibri" w:hAnsi="Calibri"/>
          <w:color w:val="000000"/>
          <w:shd w:val="clear" w:color="auto" w:fill="FFFFFF"/>
        </w:rPr>
        <w:t>voluntad del contrayente o en su capacidad para formar o lab</w:t>
      </w:r>
      <w:r w:rsidR="0026580A" w:rsidRPr="00EE25D1">
        <w:rPr>
          <w:rFonts w:ascii="Calibri" w:hAnsi="Calibri"/>
          <w:color w:val="000000"/>
          <w:shd w:val="clear" w:color="auto" w:fill="FFFFFF"/>
        </w:rPr>
        <w:t>rar la misma? Sin ningún género de dudas, pese a la opacidad del inciso, la segunda parte de</w:t>
      </w:r>
      <w:r w:rsidR="00C71F23" w:rsidRPr="00EE25D1">
        <w:rPr>
          <w:rFonts w:ascii="Calibri" w:hAnsi="Calibri"/>
          <w:color w:val="000000"/>
          <w:shd w:val="clear" w:color="auto" w:fill="FFFFFF"/>
        </w:rPr>
        <w:t xml:space="preserve">l segundo párrafo del </w:t>
      </w:r>
      <w:r w:rsidR="0037190C" w:rsidRPr="00EE25D1">
        <w:rPr>
          <w:rFonts w:ascii="Calibri" w:hAnsi="Calibri"/>
        </w:rPr>
        <w:t>artículo</w:t>
      </w:r>
      <w:r w:rsidR="00C71F23" w:rsidRPr="00EE25D1">
        <w:rPr>
          <w:rFonts w:ascii="Calibri" w:hAnsi="Calibri"/>
          <w:color w:val="000000"/>
          <w:shd w:val="clear" w:color="auto" w:fill="FFFFFF"/>
        </w:rPr>
        <w:t xml:space="preserve"> 56 </w:t>
      </w:r>
      <w:r w:rsidR="00C71F23" w:rsidRPr="00EE25D1">
        <w:rPr>
          <w:rFonts w:ascii="Calibri" w:hAnsi="Calibri"/>
        </w:rPr>
        <w:t>del Código Civil</w:t>
      </w:r>
      <w:r w:rsidR="0026580A" w:rsidRPr="00EE25D1">
        <w:rPr>
          <w:rFonts w:ascii="Calibri" w:hAnsi="Calibri"/>
          <w:color w:val="000000"/>
          <w:shd w:val="clear" w:color="auto" w:fill="FFFFFF"/>
        </w:rPr>
        <w:t xml:space="preserve"> se refiere</w:t>
      </w:r>
      <w:r w:rsidR="00674F28" w:rsidRPr="00EE25D1">
        <w:rPr>
          <w:rFonts w:ascii="Calibri" w:hAnsi="Calibri"/>
          <w:color w:val="000000"/>
          <w:shd w:val="clear" w:color="auto" w:fill="FFFFFF"/>
        </w:rPr>
        <w:t xml:space="preserve"> </w:t>
      </w:r>
      <w:r w:rsidR="0026580A" w:rsidRPr="00EE25D1">
        <w:rPr>
          <w:rFonts w:ascii="Calibri" w:hAnsi="Calibri"/>
          <w:color w:val="000000"/>
          <w:shd w:val="clear" w:color="auto" w:fill="FFFFFF"/>
        </w:rPr>
        <w:t>a la discapacidad psíquica</w:t>
      </w:r>
      <w:r w:rsidR="00385789" w:rsidRPr="00EE25D1">
        <w:rPr>
          <w:rFonts w:ascii="Calibri" w:hAnsi="Calibri"/>
          <w:color w:val="000000"/>
          <w:shd w:val="clear" w:color="auto" w:fill="FFFFFF"/>
        </w:rPr>
        <w:t>, intelectual o mental</w:t>
      </w:r>
      <w:r w:rsidR="0026580A" w:rsidRPr="00EE25D1">
        <w:rPr>
          <w:rFonts w:ascii="Calibri" w:hAnsi="Calibri"/>
          <w:color w:val="000000"/>
          <w:shd w:val="clear" w:color="auto" w:fill="FFFFFF"/>
        </w:rPr>
        <w:t xml:space="preserve"> que pueda obstaculizar la formación </w:t>
      </w:r>
      <w:r w:rsidR="00674F28" w:rsidRPr="00EE25D1">
        <w:rPr>
          <w:rFonts w:ascii="Calibri" w:hAnsi="Calibri"/>
          <w:color w:val="000000"/>
          <w:shd w:val="clear" w:color="auto" w:fill="FFFFFF"/>
        </w:rPr>
        <w:t xml:space="preserve">del consentimiento matrimonial, sin perjuicio de que también puede ser viable la provisión de apoyo a aquellas personas incardinables en la ancianidad que, sin padecer una discapacidad </w:t>
      </w:r>
      <w:r w:rsidR="00674F28" w:rsidRPr="00EE25D1">
        <w:rPr>
          <w:rFonts w:ascii="Calibri" w:hAnsi="Calibri"/>
          <w:i/>
          <w:color w:val="000000"/>
          <w:shd w:val="clear" w:color="auto" w:fill="FFFFFF"/>
        </w:rPr>
        <w:t>stricto sensu</w:t>
      </w:r>
      <w:r w:rsidR="00674F28" w:rsidRPr="00EE25D1">
        <w:rPr>
          <w:rFonts w:ascii="Calibri" w:hAnsi="Calibri"/>
          <w:color w:val="000000"/>
          <w:shd w:val="clear" w:color="auto" w:fill="FFFFFF"/>
        </w:rPr>
        <w:t>, está</w:t>
      </w:r>
      <w:r w:rsidR="00C0752D" w:rsidRPr="00EE25D1">
        <w:rPr>
          <w:rFonts w:ascii="Calibri" w:hAnsi="Calibri"/>
          <w:color w:val="000000"/>
          <w:shd w:val="clear" w:color="auto" w:fill="FFFFFF"/>
        </w:rPr>
        <w:t>n</w:t>
      </w:r>
      <w:r w:rsidR="00674F28" w:rsidRPr="00EE25D1">
        <w:rPr>
          <w:rFonts w:ascii="Calibri" w:hAnsi="Calibri"/>
          <w:color w:val="000000"/>
          <w:shd w:val="clear" w:color="auto" w:fill="FFFFFF"/>
        </w:rPr>
        <w:t xml:space="preserve"> vinculada</w:t>
      </w:r>
      <w:r w:rsidR="00C0752D" w:rsidRPr="00EE25D1">
        <w:rPr>
          <w:rFonts w:ascii="Calibri" w:hAnsi="Calibri"/>
          <w:color w:val="000000"/>
          <w:shd w:val="clear" w:color="auto" w:fill="FFFFFF"/>
        </w:rPr>
        <w:t>s</w:t>
      </w:r>
      <w:r w:rsidR="00674F28" w:rsidRPr="00EE25D1">
        <w:rPr>
          <w:rFonts w:ascii="Calibri" w:hAnsi="Calibri"/>
          <w:color w:val="000000"/>
          <w:shd w:val="clear" w:color="auto" w:fill="FFFFFF"/>
        </w:rPr>
        <w:t xml:space="preserve"> a una situación de dependencia</w:t>
      </w:r>
      <w:r w:rsidR="00674F28" w:rsidRPr="00EE25D1">
        <w:rPr>
          <w:rStyle w:val="Refdenotaalpie"/>
          <w:rFonts w:ascii="Calibri" w:hAnsi="Calibri"/>
          <w:color w:val="000000"/>
          <w:shd w:val="clear" w:color="auto" w:fill="FFFFFF"/>
        </w:rPr>
        <w:footnoteReference w:id="10"/>
      </w:r>
      <w:r w:rsidR="00674F28" w:rsidRPr="00EE25D1">
        <w:rPr>
          <w:rFonts w:ascii="Calibri" w:hAnsi="Calibri"/>
          <w:color w:val="000000"/>
          <w:shd w:val="clear" w:color="auto" w:fill="FFFFFF"/>
        </w:rPr>
        <w:t>, máxime cuando el propio legislador, en la Exposición de Motivos de la LAPCD</w:t>
      </w:r>
      <w:r w:rsidR="00C71F23" w:rsidRPr="00EE25D1">
        <w:rPr>
          <w:rFonts w:ascii="Calibri" w:hAnsi="Calibri"/>
          <w:color w:val="000000"/>
          <w:shd w:val="clear" w:color="auto" w:fill="FFFFFF"/>
        </w:rPr>
        <w:t xml:space="preserve"> y concretamente en el </w:t>
      </w:r>
      <w:r w:rsidR="0037190C" w:rsidRPr="00EE25D1">
        <w:rPr>
          <w:rFonts w:ascii="Calibri" w:hAnsi="Calibri"/>
        </w:rPr>
        <w:t>artículo</w:t>
      </w:r>
      <w:r w:rsidR="00C71F23" w:rsidRPr="00EE25D1">
        <w:rPr>
          <w:rFonts w:ascii="Calibri" w:hAnsi="Calibri"/>
          <w:color w:val="000000"/>
          <w:shd w:val="clear" w:color="auto" w:fill="FFFFFF"/>
        </w:rPr>
        <w:t xml:space="preserve"> 249 </w:t>
      </w:r>
      <w:r w:rsidR="00C71F23" w:rsidRPr="00EE25D1">
        <w:rPr>
          <w:rFonts w:ascii="Calibri" w:hAnsi="Calibri"/>
        </w:rPr>
        <w:t>del Código Civil</w:t>
      </w:r>
      <w:r w:rsidR="00C92176" w:rsidRPr="00EE25D1">
        <w:rPr>
          <w:rFonts w:ascii="Calibri" w:hAnsi="Calibri"/>
          <w:color w:val="000000"/>
          <w:shd w:val="clear" w:color="auto" w:fill="FFFFFF"/>
        </w:rPr>
        <w:t>,</w:t>
      </w:r>
      <w:r w:rsidR="00674F28" w:rsidRPr="00EE25D1">
        <w:rPr>
          <w:rFonts w:ascii="Calibri" w:hAnsi="Calibri"/>
          <w:color w:val="000000"/>
          <w:shd w:val="clear" w:color="auto" w:fill="FFFFFF"/>
        </w:rPr>
        <w:t xml:space="preserve"> no supedita la dispensa</w:t>
      </w:r>
      <w:r w:rsidR="00C0752D" w:rsidRPr="00EE25D1">
        <w:rPr>
          <w:rFonts w:ascii="Calibri" w:hAnsi="Calibri"/>
          <w:color w:val="000000"/>
          <w:shd w:val="clear" w:color="auto" w:fill="FFFFFF"/>
        </w:rPr>
        <w:t xml:space="preserve"> de </w:t>
      </w:r>
      <w:r w:rsidR="00826702" w:rsidRPr="00EE25D1">
        <w:rPr>
          <w:rFonts w:ascii="Calibri" w:hAnsi="Calibri"/>
          <w:color w:val="000000"/>
          <w:shd w:val="clear" w:color="auto" w:fill="FFFFFF"/>
        </w:rPr>
        <w:t xml:space="preserve">las medidas de </w:t>
      </w:r>
      <w:r w:rsidR="00674F28" w:rsidRPr="00EE25D1">
        <w:rPr>
          <w:rFonts w:ascii="Calibri" w:hAnsi="Calibri"/>
          <w:color w:val="000000"/>
          <w:shd w:val="clear" w:color="auto" w:fill="FFFFFF"/>
        </w:rPr>
        <w:t xml:space="preserve">apoyo a una declaración administrativa de discapacidad, </w:t>
      </w:r>
      <w:r w:rsidR="00826702" w:rsidRPr="00EE25D1">
        <w:rPr>
          <w:rFonts w:ascii="Calibri" w:hAnsi="Calibri"/>
          <w:color w:val="000000"/>
          <w:shd w:val="clear" w:color="auto" w:fill="FFFFFF"/>
        </w:rPr>
        <w:t>avalando la presencia de las mism</w:t>
      </w:r>
      <w:r w:rsidR="000954C1" w:rsidRPr="00EE25D1">
        <w:rPr>
          <w:rFonts w:ascii="Calibri" w:hAnsi="Calibri"/>
          <w:color w:val="000000"/>
          <w:shd w:val="clear" w:color="auto" w:fill="FFFFFF"/>
        </w:rPr>
        <w:t>a</w:t>
      </w:r>
      <w:r w:rsidR="00826702" w:rsidRPr="00EE25D1">
        <w:rPr>
          <w:rFonts w:ascii="Calibri" w:hAnsi="Calibri"/>
          <w:color w:val="000000"/>
          <w:shd w:val="clear" w:color="auto" w:fill="FFFFFF"/>
        </w:rPr>
        <w:t xml:space="preserve">s para </w:t>
      </w:r>
      <w:r w:rsidR="00713CC7" w:rsidRPr="00EE25D1">
        <w:rPr>
          <w:rFonts w:ascii="Calibri" w:hAnsi="Calibri"/>
          <w:color w:val="000000"/>
          <w:shd w:val="clear" w:color="auto" w:fill="FFFFFF"/>
        </w:rPr>
        <w:t>“</w:t>
      </w:r>
      <w:r w:rsidR="00826702" w:rsidRPr="00EE25D1">
        <w:rPr>
          <w:rFonts w:ascii="Calibri" w:hAnsi="Calibri"/>
          <w:color w:val="000000"/>
          <w:shd w:val="clear" w:color="auto" w:fill="FFFFFF"/>
        </w:rPr>
        <w:t>cualquier persona que las precise</w:t>
      </w:r>
      <w:r w:rsidR="00713CC7" w:rsidRPr="00EE25D1">
        <w:rPr>
          <w:rFonts w:ascii="Calibri" w:hAnsi="Calibri"/>
          <w:color w:val="000000"/>
          <w:shd w:val="clear" w:color="auto" w:fill="FFFFFF"/>
        </w:rPr>
        <w:t>”</w:t>
      </w:r>
      <w:r w:rsidR="006D330D" w:rsidRPr="00EE25D1">
        <w:rPr>
          <w:rStyle w:val="Refdenotaalpie"/>
          <w:rFonts w:ascii="Calibri" w:hAnsi="Calibri"/>
          <w:color w:val="000000"/>
          <w:shd w:val="clear" w:color="auto" w:fill="FFFFFF"/>
        </w:rPr>
        <w:footnoteReference w:id="11"/>
      </w:r>
      <w:r w:rsidR="00826702" w:rsidRPr="00EE25D1">
        <w:rPr>
          <w:rFonts w:ascii="Calibri" w:hAnsi="Calibri"/>
          <w:color w:val="000000"/>
          <w:shd w:val="clear" w:color="auto" w:fill="FFFFFF"/>
        </w:rPr>
        <w:t>.</w:t>
      </w:r>
    </w:p>
    <w:p w:rsidR="0026580A" w:rsidRPr="00EE25D1" w:rsidRDefault="00DD0132"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shd w:val="clear" w:color="auto" w:fill="FFFFFF"/>
        </w:rPr>
        <w:t>Al compás de</w:t>
      </w:r>
      <w:r w:rsidR="0026580A" w:rsidRPr="00EE25D1">
        <w:rPr>
          <w:rFonts w:ascii="Calibri" w:hAnsi="Calibri"/>
          <w:color w:val="000000"/>
          <w:shd w:val="clear" w:color="auto" w:fill="FFFFFF"/>
        </w:rPr>
        <w:t xml:space="preserve"> una </w:t>
      </w:r>
      <w:r w:rsidR="003B65C4" w:rsidRPr="00EE25D1">
        <w:rPr>
          <w:rFonts w:ascii="Calibri" w:hAnsi="Calibri"/>
          <w:color w:val="000000"/>
          <w:shd w:val="clear" w:color="auto" w:fill="FFFFFF"/>
        </w:rPr>
        <w:t>interpretación histórica de la nor</w:t>
      </w:r>
      <w:r w:rsidR="00C71F23" w:rsidRPr="00EE25D1">
        <w:rPr>
          <w:rFonts w:ascii="Calibri" w:hAnsi="Calibri"/>
          <w:color w:val="000000"/>
          <w:shd w:val="clear" w:color="auto" w:fill="FFFFFF"/>
        </w:rPr>
        <w:t xml:space="preserve">ma, debemos ubicar el </w:t>
      </w:r>
      <w:r w:rsidR="0037190C" w:rsidRPr="00EE25D1">
        <w:rPr>
          <w:rFonts w:ascii="Calibri" w:hAnsi="Calibri"/>
        </w:rPr>
        <w:t>artículo</w:t>
      </w:r>
      <w:r w:rsidR="00C71F23" w:rsidRPr="00EE25D1">
        <w:rPr>
          <w:rFonts w:ascii="Calibri" w:hAnsi="Calibri"/>
          <w:color w:val="000000"/>
          <w:shd w:val="clear" w:color="auto" w:fill="FFFFFF"/>
        </w:rPr>
        <w:t xml:space="preserve"> 56 </w:t>
      </w:r>
      <w:r w:rsidR="00C71F23" w:rsidRPr="00EE25D1">
        <w:rPr>
          <w:rFonts w:ascii="Calibri" w:hAnsi="Calibri"/>
        </w:rPr>
        <w:t>del Código Civil</w:t>
      </w:r>
      <w:r w:rsidR="003B65C4" w:rsidRPr="00EE25D1">
        <w:rPr>
          <w:rFonts w:ascii="Calibri" w:hAnsi="Calibri"/>
          <w:color w:val="000000"/>
          <w:shd w:val="clear" w:color="auto" w:fill="FFFFFF"/>
        </w:rPr>
        <w:t xml:space="preserve"> </w:t>
      </w:r>
      <w:r w:rsidR="003B65C4" w:rsidRPr="00EE25D1">
        <w:rPr>
          <w:rFonts w:ascii="Calibri" w:hAnsi="Calibri"/>
          <w:i/>
          <w:color w:val="000000"/>
          <w:shd w:val="clear" w:color="auto" w:fill="FFFFFF"/>
        </w:rPr>
        <w:t>in fine</w:t>
      </w:r>
      <w:r w:rsidR="003B65C4" w:rsidRPr="00EE25D1">
        <w:rPr>
          <w:rFonts w:ascii="Calibri" w:hAnsi="Calibri"/>
          <w:color w:val="000000"/>
          <w:shd w:val="clear" w:color="auto" w:fill="FFFFFF"/>
        </w:rPr>
        <w:t xml:space="preserve"> en la Exposición de Motivos de la Ley 4/2017</w:t>
      </w:r>
      <w:r w:rsidR="003A276E" w:rsidRPr="00EE25D1">
        <w:rPr>
          <w:rFonts w:ascii="Calibri" w:hAnsi="Calibri"/>
          <w:color w:val="000000"/>
          <w:shd w:val="clear" w:color="auto" w:fill="FFFFFF"/>
        </w:rPr>
        <w:t xml:space="preserve">, la cual </w:t>
      </w:r>
      <w:r w:rsidR="00F93682" w:rsidRPr="00EE25D1">
        <w:rPr>
          <w:rFonts w:ascii="Calibri" w:hAnsi="Calibri"/>
          <w:color w:val="000000"/>
          <w:shd w:val="clear" w:color="auto" w:fill="FFFFFF"/>
        </w:rPr>
        <w:t>se remite a la interpretación</w:t>
      </w:r>
      <w:r w:rsidR="00C71F23" w:rsidRPr="00EE25D1">
        <w:rPr>
          <w:rFonts w:ascii="Calibri" w:hAnsi="Calibri"/>
          <w:color w:val="000000"/>
          <w:shd w:val="clear" w:color="auto" w:fill="FFFFFF"/>
        </w:rPr>
        <w:t xml:space="preserve"> del artículo 56</w:t>
      </w:r>
      <w:r w:rsidR="003D72F6" w:rsidRPr="00EE25D1">
        <w:rPr>
          <w:rFonts w:ascii="Calibri" w:hAnsi="Calibri"/>
          <w:color w:val="000000"/>
          <w:shd w:val="clear" w:color="auto" w:fill="FFFFFF"/>
        </w:rPr>
        <w:t>, según la redacción dada por la LJV,</w:t>
      </w:r>
      <w:r w:rsidR="00F93682" w:rsidRPr="00EE25D1">
        <w:rPr>
          <w:rFonts w:ascii="Calibri" w:hAnsi="Calibri"/>
          <w:color w:val="000000"/>
          <w:shd w:val="clear" w:color="auto" w:fill="FFFFFF"/>
        </w:rPr>
        <w:t xml:space="preserve"> que articuló la </w:t>
      </w:r>
      <w:r w:rsidR="00F93682" w:rsidRPr="00EE25D1">
        <w:rPr>
          <w:rFonts w:ascii="Calibri" w:hAnsi="Calibri"/>
          <w:color w:val="000000" w:themeColor="text1"/>
          <w:shd w:val="clear" w:color="auto" w:fill="FFFFFF"/>
        </w:rPr>
        <w:t>Resolución-Circular de 23 de diciembre de 2016, de la Dirección General de los Registros y del Notariado</w:t>
      </w:r>
      <w:r w:rsidR="003D72F6" w:rsidRPr="00EE25D1">
        <w:rPr>
          <w:rFonts w:ascii="Calibri" w:hAnsi="Calibri"/>
          <w:color w:val="000000" w:themeColor="text1"/>
          <w:shd w:val="clear" w:color="auto" w:fill="FFFFFF"/>
        </w:rPr>
        <w:t xml:space="preserve">. </w:t>
      </w:r>
      <w:r w:rsidR="00F93682" w:rsidRPr="00EE25D1">
        <w:rPr>
          <w:rFonts w:ascii="Calibri" w:hAnsi="Calibri"/>
          <w:color w:val="000000" w:themeColor="text1"/>
          <w:shd w:val="clear" w:color="auto" w:fill="FFFFFF"/>
        </w:rPr>
        <w:t>La misma identificó que la exigencia del dictamen médico se circunscribía a aquellos casos en los que la persona con discapacidad tuviese afectada, exclusivamente y de forma sustancial, la capacidad</w:t>
      </w:r>
      <w:r w:rsidR="00C92B60" w:rsidRPr="00EE25D1">
        <w:rPr>
          <w:rFonts w:ascii="Calibri" w:hAnsi="Calibri"/>
          <w:color w:val="000000" w:themeColor="text1"/>
          <w:shd w:val="clear" w:color="auto" w:fill="FFFFFF"/>
        </w:rPr>
        <w:t xml:space="preserve"> para</w:t>
      </w:r>
      <w:r w:rsidR="00F93682" w:rsidRPr="00EE25D1">
        <w:rPr>
          <w:rFonts w:ascii="Calibri" w:hAnsi="Calibri"/>
          <w:color w:val="000000" w:themeColor="text1"/>
          <w:shd w:val="clear" w:color="auto" w:fill="FFFFFF"/>
        </w:rPr>
        <w:t xml:space="preserve"> </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prestar el consentimiento</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 quedando excluido</w:t>
      </w:r>
      <w:r w:rsidR="00C0752D" w:rsidRPr="00EE25D1">
        <w:rPr>
          <w:rFonts w:ascii="Calibri" w:hAnsi="Calibri"/>
          <w:color w:val="000000" w:themeColor="text1"/>
          <w:shd w:val="clear" w:color="auto" w:fill="FFFFFF"/>
        </w:rPr>
        <w:t>s</w:t>
      </w:r>
      <w:r w:rsidR="00F93682" w:rsidRPr="00EE25D1">
        <w:rPr>
          <w:rFonts w:ascii="Calibri" w:hAnsi="Calibri"/>
          <w:color w:val="000000" w:themeColor="text1"/>
          <w:shd w:val="clear" w:color="auto" w:fill="FFFFFF"/>
        </w:rPr>
        <w:t xml:space="preserve"> </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aquellos supuestos en que la discapacidad afecte tan solo a los medios, canales o soportes de emisión</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 xml:space="preserve"> o </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nada tenga que ver ni guarde relación con la aptitud para prestarlo</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 xml:space="preserve">. </w:t>
      </w:r>
      <w:r w:rsidR="00F93682" w:rsidRPr="00EE25D1">
        <w:rPr>
          <w:rFonts w:ascii="Calibri" w:hAnsi="Calibri"/>
          <w:i/>
          <w:color w:val="000000" w:themeColor="text1"/>
          <w:shd w:val="clear" w:color="auto" w:fill="FFFFFF"/>
        </w:rPr>
        <w:t>Ergo</w:t>
      </w:r>
      <w:r w:rsidR="00F93682" w:rsidRPr="00EE25D1">
        <w:rPr>
          <w:rFonts w:ascii="Calibri" w:hAnsi="Calibri"/>
          <w:color w:val="000000" w:themeColor="text1"/>
          <w:shd w:val="clear" w:color="auto" w:fill="FFFFFF"/>
        </w:rPr>
        <w:t>, habida cuenta que para los supuestos de discapacidad sensorial es aplicable la primera parte de</w:t>
      </w:r>
      <w:r w:rsidR="00C71F23" w:rsidRPr="00EE25D1">
        <w:rPr>
          <w:rFonts w:ascii="Calibri" w:hAnsi="Calibri"/>
          <w:color w:val="000000" w:themeColor="text1"/>
          <w:shd w:val="clear" w:color="auto" w:fill="FFFFFF"/>
        </w:rPr>
        <w:t xml:space="preserve">l segundo párrafo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C0752D"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 xml:space="preserve"> y que el verbo </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prestar</w:t>
      </w:r>
      <w:r w:rsidR="00713CC7" w:rsidRPr="00EE25D1">
        <w:rPr>
          <w:rFonts w:ascii="Calibri" w:hAnsi="Calibri"/>
          <w:color w:val="000000" w:themeColor="text1"/>
          <w:shd w:val="clear" w:color="auto" w:fill="FFFFFF"/>
        </w:rPr>
        <w:t>”</w:t>
      </w:r>
      <w:r w:rsidR="00F93682" w:rsidRPr="00EE25D1">
        <w:rPr>
          <w:rFonts w:ascii="Calibri" w:hAnsi="Calibri"/>
          <w:color w:val="000000" w:themeColor="text1"/>
          <w:shd w:val="clear" w:color="auto" w:fill="FFFFFF"/>
        </w:rPr>
        <w:t xml:space="preserve"> que emplea la </w:t>
      </w:r>
      <w:r w:rsidR="00E35ECB" w:rsidRPr="00EE25D1">
        <w:rPr>
          <w:rFonts w:ascii="Calibri" w:hAnsi="Calibri"/>
          <w:color w:val="000000" w:themeColor="text1"/>
          <w:shd w:val="clear" w:color="auto" w:fill="FFFFFF"/>
        </w:rPr>
        <w:t>segunda parte,</w:t>
      </w:r>
      <w:r w:rsidR="00F93682" w:rsidRPr="00EE25D1">
        <w:rPr>
          <w:rFonts w:ascii="Calibri" w:hAnsi="Calibri"/>
          <w:color w:val="000000" w:themeColor="text1"/>
          <w:shd w:val="clear" w:color="auto" w:fill="FFFFFF"/>
        </w:rPr>
        <w:t xml:space="preserve"> en consonancia con la resolución</w:t>
      </w:r>
      <w:r w:rsidR="00E35ECB" w:rsidRPr="00EE25D1">
        <w:rPr>
          <w:rFonts w:ascii="Calibri" w:hAnsi="Calibri"/>
          <w:color w:val="000000" w:themeColor="text1"/>
          <w:shd w:val="clear" w:color="auto" w:fill="FFFFFF"/>
        </w:rPr>
        <w:t xml:space="preserve"> del centro directivo,</w:t>
      </w:r>
      <w:r w:rsidR="00F93682" w:rsidRPr="00EE25D1">
        <w:rPr>
          <w:rFonts w:ascii="Calibri" w:hAnsi="Calibri"/>
          <w:color w:val="000000" w:themeColor="text1"/>
          <w:shd w:val="clear" w:color="auto" w:fill="FFFFFF"/>
        </w:rPr>
        <w:t xml:space="preserve"> se refiere a la aptitud para formar el consentimiento, no a su exteriorización, </w:t>
      </w:r>
      <w:r w:rsidR="00E35ECB" w:rsidRPr="00EE25D1">
        <w:rPr>
          <w:rFonts w:ascii="Calibri" w:hAnsi="Calibri"/>
          <w:color w:val="000000" w:themeColor="text1"/>
          <w:shd w:val="clear" w:color="auto" w:fill="FFFFFF"/>
        </w:rPr>
        <w:t xml:space="preserve">la conclusión es que donde la </w:t>
      </w:r>
      <w:r w:rsidR="00E35ECB" w:rsidRPr="00EE25D1">
        <w:rPr>
          <w:rFonts w:ascii="Calibri" w:hAnsi="Calibri"/>
          <w:i/>
          <w:color w:val="000000" w:themeColor="text1"/>
          <w:shd w:val="clear" w:color="auto" w:fill="FFFFFF"/>
        </w:rPr>
        <w:t>dictio legis</w:t>
      </w:r>
      <w:r w:rsidR="00E35ECB" w:rsidRPr="00EE25D1">
        <w:rPr>
          <w:rFonts w:ascii="Calibri" w:hAnsi="Calibri"/>
          <w:color w:val="000000" w:themeColor="text1"/>
          <w:shd w:val="clear" w:color="auto" w:fill="FFFFFF"/>
        </w:rPr>
        <w:t xml:space="preserve"> dice </w:t>
      </w:r>
      <w:r w:rsidR="00713CC7" w:rsidRPr="00EE25D1">
        <w:rPr>
          <w:rFonts w:ascii="Calibri" w:hAnsi="Calibri"/>
          <w:color w:val="000000" w:themeColor="text1"/>
          <w:shd w:val="clear" w:color="auto" w:fill="FFFFFF"/>
        </w:rPr>
        <w:t>“</w:t>
      </w:r>
      <w:r w:rsidR="00E35ECB" w:rsidRPr="00EE25D1">
        <w:rPr>
          <w:rFonts w:ascii="Calibri" w:hAnsi="Calibri"/>
          <w:color w:val="000000" w:themeColor="text1"/>
          <w:shd w:val="clear" w:color="auto" w:fill="FFFFFF"/>
        </w:rPr>
        <w:t>condición de salud</w:t>
      </w:r>
      <w:r w:rsidR="00713CC7" w:rsidRPr="00EE25D1">
        <w:rPr>
          <w:rFonts w:ascii="Calibri" w:hAnsi="Calibri"/>
          <w:color w:val="000000" w:themeColor="text1"/>
          <w:shd w:val="clear" w:color="auto" w:fill="FFFFFF"/>
        </w:rPr>
        <w:t>”</w:t>
      </w:r>
      <w:r w:rsidR="00E35ECB" w:rsidRPr="00EE25D1">
        <w:rPr>
          <w:rFonts w:ascii="Calibri" w:hAnsi="Calibri"/>
          <w:color w:val="000000" w:themeColor="text1"/>
          <w:shd w:val="clear" w:color="auto" w:fill="FFFFFF"/>
        </w:rPr>
        <w:t xml:space="preserve"> debe leerse </w:t>
      </w:r>
      <w:r w:rsidR="00713CC7" w:rsidRPr="00EE25D1">
        <w:rPr>
          <w:rFonts w:ascii="Calibri" w:hAnsi="Calibri"/>
          <w:color w:val="000000" w:themeColor="text1"/>
          <w:shd w:val="clear" w:color="auto" w:fill="FFFFFF"/>
        </w:rPr>
        <w:t>“</w:t>
      </w:r>
      <w:r w:rsidR="00E35ECB" w:rsidRPr="00EE25D1">
        <w:rPr>
          <w:rFonts w:ascii="Calibri" w:hAnsi="Calibri"/>
          <w:color w:val="000000" w:themeColor="text1"/>
          <w:shd w:val="clear" w:color="auto" w:fill="FFFFFF"/>
        </w:rPr>
        <w:t>discapacidad psíquica</w:t>
      </w:r>
      <w:r w:rsidR="00C92B60" w:rsidRPr="00EE25D1">
        <w:rPr>
          <w:rFonts w:ascii="Calibri" w:hAnsi="Calibri"/>
          <w:color w:val="000000" w:themeColor="text1"/>
          <w:shd w:val="clear" w:color="auto" w:fill="FFFFFF"/>
        </w:rPr>
        <w:t>, intelectual o mental</w:t>
      </w:r>
      <w:r w:rsidR="00713CC7" w:rsidRPr="00EE25D1">
        <w:rPr>
          <w:rFonts w:ascii="Calibri" w:hAnsi="Calibri"/>
          <w:color w:val="000000" w:themeColor="text1"/>
          <w:shd w:val="clear" w:color="auto" w:fill="FFFFFF"/>
        </w:rPr>
        <w:t>”</w:t>
      </w:r>
      <w:r w:rsidR="00E35ECB" w:rsidRPr="00EE25D1">
        <w:rPr>
          <w:rFonts w:ascii="Calibri" w:hAnsi="Calibri"/>
          <w:color w:val="000000" w:themeColor="text1"/>
          <w:shd w:val="clear" w:color="auto" w:fill="FFFFFF"/>
        </w:rPr>
        <w:t xml:space="preserve">. </w:t>
      </w:r>
    </w:p>
    <w:p w:rsidR="00E35ECB" w:rsidRPr="00EE25D1" w:rsidRDefault="00E35ECB"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Valorando que el vocablo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emisión</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que usa la primera parte, relativa a la discapacidad </w:t>
      </w:r>
      <w:r w:rsidR="00C92B60" w:rsidRPr="00EE25D1">
        <w:rPr>
          <w:rFonts w:ascii="Calibri" w:hAnsi="Calibri"/>
          <w:color w:val="000000" w:themeColor="text1"/>
          <w:shd w:val="clear" w:color="auto" w:fill="FFFFFF"/>
        </w:rPr>
        <w:t xml:space="preserve">física o </w:t>
      </w:r>
      <w:r w:rsidR="00471478" w:rsidRPr="00EE25D1">
        <w:rPr>
          <w:rFonts w:ascii="Calibri" w:hAnsi="Calibri"/>
          <w:color w:val="000000" w:themeColor="text1"/>
          <w:shd w:val="clear" w:color="auto" w:fill="FFFFFF"/>
        </w:rPr>
        <w:t>sensorial,</w:t>
      </w:r>
      <w:r w:rsidRPr="00EE25D1">
        <w:rPr>
          <w:rFonts w:ascii="Calibri" w:hAnsi="Calibri"/>
          <w:color w:val="000000" w:themeColor="text1"/>
          <w:shd w:val="clear" w:color="auto" w:fill="FFFFFF"/>
        </w:rPr>
        <w:t xml:space="preserve"> pudiere entender</w:t>
      </w:r>
      <w:r w:rsidR="001D78A2" w:rsidRPr="00EE25D1">
        <w:rPr>
          <w:rFonts w:ascii="Calibri" w:hAnsi="Calibri"/>
          <w:color w:val="000000" w:themeColor="text1"/>
          <w:shd w:val="clear" w:color="auto" w:fill="FFFFFF"/>
        </w:rPr>
        <w:t>se</w:t>
      </w:r>
      <w:r w:rsidRPr="00EE25D1">
        <w:rPr>
          <w:rFonts w:ascii="Calibri" w:hAnsi="Calibri"/>
          <w:color w:val="000000" w:themeColor="text1"/>
          <w:shd w:val="clear" w:color="auto" w:fill="FFFFFF"/>
        </w:rPr>
        <w:t xml:space="preserve"> como sinónimo de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prestar</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empleado por la segunda parte en sede de discapacidad psíquica</w:t>
      </w:r>
      <w:r w:rsidR="006D330D" w:rsidRPr="00EE25D1">
        <w:rPr>
          <w:rStyle w:val="Refdenotaalpie"/>
          <w:rFonts w:ascii="Calibri" w:hAnsi="Calibri"/>
          <w:color w:val="000000" w:themeColor="text1"/>
          <w:shd w:val="clear" w:color="auto" w:fill="FFFFFF"/>
        </w:rPr>
        <w:footnoteReference w:id="12"/>
      </w:r>
      <w:r w:rsidRPr="00EE25D1">
        <w:rPr>
          <w:rFonts w:ascii="Calibri" w:hAnsi="Calibri"/>
          <w:color w:val="000000" w:themeColor="text1"/>
          <w:shd w:val="clear" w:color="auto" w:fill="FFFFFF"/>
        </w:rPr>
        <w:t xml:space="preserve">, sería conveniente, de </w:t>
      </w:r>
      <w:r w:rsidRPr="00EE25D1">
        <w:rPr>
          <w:rFonts w:ascii="Calibri" w:hAnsi="Calibri"/>
          <w:i/>
          <w:color w:val="000000" w:themeColor="text1"/>
          <w:shd w:val="clear" w:color="auto" w:fill="FFFFFF"/>
        </w:rPr>
        <w:t>lege ferenda</w:t>
      </w:r>
      <w:r w:rsidRPr="00EE25D1">
        <w:rPr>
          <w:rFonts w:ascii="Calibri" w:hAnsi="Calibri"/>
          <w:color w:val="000000" w:themeColor="text1"/>
          <w:shd w:val="clear" w:color="auto" w:fill="FFFFFF"/>
        </w:rPr>
        <w:t xml:space="preserve">, la modificación del segundo párrafo </w:t>
      </w:r>
      <w:r w:rsidRPr="00EE25D1">
        <w:rPr>
          <w:rFonts w:ascii="Calibri" w:hAnsi="Calibri"/>
          <w:i/>
          <w:color w:val="000000" w:themeColor="text1"/>
          <w:shd w:val="clear" w:color="auto" w:fill="FFFFFF"/>
        </w:rPr>
        <w:t xml:space="preserve">in fine </w:t>
      </w:r>
      <w:r w:rsidRPr="00EE25D1">
        <w:rPr>
          <w:rFonts w:ascii="Calibri" w:hAnsi="Calibri"/>
          <w:color w:val="000000" w:themeColor="text1"/>
          <w:shd w:val="clear" w:color="auto" w:fill="FFFFFF"/>
        </w:rPr>
        <w:t xml:space="preserve">del </w:t>
      </w:r>
      <w:r w:rsidR="0037190C" w:rsidRPr="00EE25D1">
        <w:rPr>
          <w:rFonts w:ascii="Calibri" w:hAnsi="Calibri"/>
        </w:rPr>
        <w:t>artículo</w:t>
      </w:r>
      <w:r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Pr="00EE25D1">
        <w:rPr>
          <w:rFonts w:ascii="Calibri" w:hAnsi="Calibri"/>
          <w:color w:val="000000" w:themeColor="text1"/>
          <w:shd w:val="clear" w:color="auto" w:fill="FFFFFF"/>
        </w:rPr>
        <w:t>, sobre todo atendiendo a la exigencia de tipicidad de la norma</w:t>
      </w:r>
      <w:r w:rsidR="00FF58F0"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tributaria del principio de seguridad jurídica, de forma que quedara redact</w:t>
      </w:r>
      <w:r w:rsidR="00FF58F0" w:rsidRPr="00EE25D1">
        <w:rPr>
          <w:rFonts w:ascii="Calibri" w:hAnsi="Calibri"/>
          <w:color w:val="000000" w:themeColor="text1"/>
          <w:shd w:val="clear" w:color="auto" w:fill="FFFFFF"/>
        </w:rPr>
        <w:t>ado</w:t>
      </w:r>
      <w:r w:rsidR="000954C1" w:rsidRPr="00EE25D1">
        <w:rPr>
          <w:rFonts w:ascii="Calibri" w:hAnsi="Calibri"/>
          <w:color w:val="000000" w:themeColor="text1"/>
          <w:shd w:val="clear" w:color="auto" w:fill="FFFFFF"/>
        </w:rPr>
        <w:t xml:space="preserve"> del siguiente modo: </w:t>
      </w:r>
      <w:r w:rsidRPr="00EE25D1">
        <w:rPr>
          <w:rFonts w:ascii="Calibri" w:hAnsi="Calibri"/>
          <w:color w:val="000000" w:themeColor="text1"/>
          <w:shd w:val="clear" w:color="auto" w:fill="FFFFFF"/>
        </w:rPr>
        <w:t xml:space="preserve">Sólo en el caso excepcional de que alguno de los contrayentes presentare una discapacidad </w:t>
      </w:r>
      <w:r w:rsidR="001432AB" w:rsidRPr="00EE25D1">
        <w:rPr>
          <w:rFonts w:ascii="Calibri" w:hAnsi="Calibri"/>
          <w:color w:val="000000" w:themeColor="text1"/>
          <w:shd w:val="clear" w:color="auto" w:fill="FFFFFF"/>
        </w:rPr>
        <w:t xml:space="preserve">psíquica, </w:t>
      </w:r>
      <w:r w:rsidR="00C42A87" w:rsidRPr="00EE25D1">
        <w:rPr>
          <w:rFonts w:ascii="Calibri" w:hAnsi="Calibri"/>
          <w:color w:val="000000" w:themeColor="text1"/>
          <w:shd w:val="clear" w:color="auto" w:fill="FFFFFF"/>
        </w:rPr>
        <w:t>intelectual</w:t>
      </w:r>
      <w:r w:rsidR="001D78A2" w:rsidRPr="00EE25D1">
        <w:rPr>
          <w:rFonts w:ascii="Calibri" w:hAnsi="Calibri"/>
          <w:color w:val="000000" w:themeColor="text1"/>
          <w:shd w:val="clear" w:color="auto" w:fill="FFFFFF"/>
        </w:rPr>
        <w:t xml:space="preserve"> </w:t>
      </w:r>
      <w:r w:rsidR="00C92B60" w:rsidRPr="00EE25D1">
        <w:rPr>
          <w:rFonts w:ascii="Calibri" w:hAnsi="Calibri"/>
          <w:color w:val="000000" w:themeColor="text1"/>
          <w:shd w:val="clear" w:color="auto" w:fill="FFFFFF"/>
        </w:rPr>
        <w:t xml:space="preserve"> o mental </w:t>
      </w:r>
      <w:r w:rsidRPr="00EE25D1">
        <w:rPr>
          <w:rFonts w:ascii="Calibri" w:hAnsi="Calibri"/>
          <w:color w:val="000000" w:themeColor="text1"/>
          <w:shd w:val="clear" w:color="auto" w:fill="FFFFFF"/>
        </w:rPr>
        <w:t>que, de modo evidente, categórico y sustancial, pueda impedirle comprender el alcance del matrimonio</w:t>
      </w:r>
      <w:r w:rsidR="00FF58F0" w:rsidRPr="00EE25D1">
        <w:rPr>
          <w:rStyle w:val="Refdenotaalpie"/>
          <w:rFonts w:ascii="Calibri" w:hAnsi="Calibri"/>
          <w:color w:val="000000" w:themeColor="text1"/>
          <w:shd w:val="clear" w:color="auto" w:fill="FFFFFF"/>
        </w:rPr>
        <w:footnoteReference w:id="13"/>
      </w:r>
      <w:r w:rsidRPr="00EE25D1">
        <w:rPr>
          <w:rFonts w:ascii="Calibri" w:hAnsi="Calibri"/>
          <w:color w:val="000000" w:themeColor="text1"/>
          <w:shd w:val="clear" w:color="auto" w:fill="FFFFFF"/>
        </w:rPr>
        <w:t xml:space="preserve">, </w:t>
      </w:r>
      <w:r w:rsidR="000954C1" w:rsidRPr="00EE25D1">
        <w:rPr>
          <w:rFonts w:ascii="Calibri" w:hAnsi="Calibri"/>
          <w:color w:val="000000" w:themeColor="text1"/>
          <w:shd w:val="clear" w:color="auto" w:fill="FFFFFF"/>
        </w:rPr>
        <w:t xml:space="preserve">pese a las medidas de apoyo, </w:t>
      </w:r>
      <w:r w:rsidRPr="00EE25D1">
        <w:rPr>
          <w:rFonts w:ascii="Calibri" w:hAnsi="Calibri"/>
          <w:color w:val="000000" w:themeColor="text1"/>
          <w:shd w:val="clear" w:color="auto" w:fill="FFFFFF"/>
        </w:rPr>
        <w:t xml:space="preserve">se recabará dictamen médico sobre su aptitud </w:t>
      </w:r>
      <w:r w:rsidR="000954C1" w:rsidRPr="00EE25D1">
        <w:rPr>
          <w:rFonts w:ascii="Calibri" w:hAnsi="Calibri"/>
          <w:color w:val="000000" w:themeColor="text1"/>
          <w:shd w:val="clear" w:color="auto" w:fill="FFFFFF"/>
        </w:rPr>
        <w:t>para prestar el consentimiento.</w:t>
      </w:r>
    </w:p>
    <w:p w:rsidR="00471478" w:rsidRPr="00EE25D1" w:rsidRDefault="00471478"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i/>
          <w:color w:val="000000" w:themeColor="text1"/>
          <w:shd w:val="clear" w:color="auto" w:fill="FFFFFF"/>
        </w:rPr>
        <w:t>Ad abundantiam</w:t>
      </w:r>
      <w:r w:rsidRPr="00EE25D1">
        <w:rPr>
          <w:rFonts w:ascii="Calibri" w:hAnsi="Calibri"/>
          <w:color w:val="000000" w:themeColor="text1"/>
          <w:shd w:val="clear" w:color="auto" w:fill="FFFFFF"/>
        </w:rPr>
        <w:t xml:space="preserve">, creemos que la exigencia del dictamen médico para el matrimonio en peligro de muerte cuando el peligro derive de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enfermedad o estado físico</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de alguno de los contrayentes </w:t>
      </w:r>
      <w:r w:rsidR="00E8073B" w:rsidRPr="00EE25D1">
        <w:rPr>
          <w:rFonts w:ascii="Calibri" w:hAnsi="Calibri"/>
          <w:color w:val="000000" w:themeColor="text1"/>
          <w:shd w:val="clear" w:color="auto" w:fill="FFFFFF"/>
        </w:rPr>
        <w:t>(</w:t>
      </w:r>
      <w:r w:rsidR="00545FB7" w:rsidRPr="00EE25D1">
        <w:rPr>
          <w:rFonts w:ascii="Calibri" w:hAnsi="Calibri"/>
        </w:rPr>
        <w:t>art.</w:t>
      </w:r>
      <w:r w:rsidR="00545FB7" w:rsidRPr="00EE25D1">
        <w:rPr>
          <w:rFonts w:ascii="Calibri" w:hAnsi="Calibri"/>
          <w:color w:val="000000" w:themeColor="text1"/>
          <w:shd w:val="clear" w:color="auto" w:fill="FFFFFF"/>
        </w:rPr>
        <w:t xml:space="preserve"> </w:t>
      </w:r>
      <w:r w:rsidR="00E8073B" w:rsidRPr="00EE25D1">
        <w:rPr>
          <w:rFonts w:ascii="Calibri" w:hAnsi="Calibri"/>
          <w:color w:val="000000" w:themeColor="text1"/>
          <w:shd w:val="clear" w:color="auto" w:fill="FFFFFF"/>
        </w:rPr>
        <w:t xml:space="preserve">52 CC) </w:t>
      </w:r>
      <w:r w:rsidR="00932721" w:rsidRPr="00EE25D1">
        <w:rPr>
          <w:rFonts w:ascii="Calibri" w:hAnsi="Calibri"/>
          <w:color w:val="000000" w:themeColor="text1"/>
          <w:shd w:val="clear" w:color="auto" w:fill="FFFFFF"/>
        </w:rPr>
        <w:t>debería ser objeto de reforma</w:t>
      </w:r>
      <w:r w:rsidRPr="00EE25D1">
        <w:rPr>
          <w:rFonts w:ascii="Calibri" w:hAnsi="Calibri"/>
          <w:color w:val="000000" w:themeColor="text1"/>
          <w:shd w:val="clear" w:color="auto" w:fill="FFFFFF"/>
        </w:rPr>
        <w:t xml:space="preserve"> a tenor de los postulados de la CDPD, por la exigencia indiscriminada del mismo, </w:t>
      </w:r>
      <w:r w:rsidR="00E8073B" w:rsidRPr="00EE25D1">
        <w:rPr>
          <w:rFonts w:ascii="Calibri" w:hAnsi="Calibri"/>
          <w:color w:val="000000" w:themeColor="text1"/>
          <w:shd w:val="clear" w:color="auto" w:fill="FFFFFF"/>
        </w:rPr>
        <w:t xml:space="preserve">pues difícilmente un </w:t>
      </w:r>
      <w:r w:rsidR="00713CC7" w:rsidRPr="00EE25D1">
        <w:rPr>
          <w:rFonts w:ascii="Calibri" w:hAnsi="Calibri"/>
          <w:color w:val="000000" w:themeColor="text1"/>
          <w:shd w:val="clear" w:color="auto" w:fill="FFFFFF"/>
        </w:rPr>
        <w:t>“</w:t>
      </w:r>
      <w:r w:rsidR="00E8073B" w:rsidRPr="00EE25D1">
        <w:rPr>
          <w:rFonts w:ascii="Calibri" w:hAnsi="Calibri"/>
          <w:color w:val="000000" w:themeColor="text1"/>
          <w:shd w:val="clear" w:color="auto" w:fill="FFFFFF"/>
        </w:rPr>
        <w:t>estado físico</w:t>
      </w:r>
      <w:r w:rsidR="00713CC7" w:rsidRPr="00EE25D1">
        <w:rPr>
          <w:rFonts w:ascii="Calibri" w:hAnsi="Calibri"/>
          <w:color w:val="000000" w:themeColor="text1"/>
          <w:shd w:val="clear" w:color="auto" w:fill="FFFFFF"/>
        </w:rPr>
        <w:t>”</w:t>
      </w:r>
      <w:r w:rsidR="00E8073B" w:rsidRPr="00EE25D1">
        <w:rPr>
          <w:rFonts w:ascii="Calibri" w:hAnsi="Calibri"/>
          <w:color w:val="000000" w:themeColor="text1"/>
          <w:shd w:val="clear" w:color="auto" w:fill="FFFFFF"/>
        </w:rPr>
        <w:t xml:space="preserve"> puede afectar a la prestación del consentimiento</w:t>
      </w:r>
      <w:r w:rsidRPr="00EE25D1">
        <w:rPr>
          <w:rFonts w:ascii="Calibri" w:hAnsi="Calibri"/>
          <w:color w:val="000000" w:themeColor="text1"/>
          <w:shd w:val="clear" w:color="auto" w:fill="FFFFFF"/>
        </w:rPr>
        <w:t xml:space="preserve"> </w:t>
      </w:r>
    </w:p>
    <w:p w:rsidR="003D72F6" w:rsidRPr="00EE25D1" w:rsidRDefault="00C02EF1" w:rsidP="00D44BF1">
      <w:pPr>
        <w:tabs>
          <w:tab w:val="left" w:pos="8505"/>
        </w:tabs>
        <w:spacing w:before="100" w:beforeAutospacing="1" w:after="100" w:afterAutospacing="1"/>
        <w:rPr>
          <w:rFonts w:ascii="Calibri" w:hAnsi="Calibri"/>
          <w:b/>
          <w:i/>
          <w:color w:val="000000" w:themeColor="text1"/>
          <w:shd w:val="clear" w:color="auto" w:fill="FFFFFF"/>
        </w:rPr>
      </w:pPr>
      <w:r w:rsidRPr="00EE25D1">
        <w:rPr>
          <w:rFonts w:ascii="Calibri" w:hAnsi="Calibri"/>
          <w:b/>
          <w:i/>
          <w:color w:val="000000" w:themeColor="text1"/>
          <w:shd w:val="clear" w:color="auto" w:fill="FFFFFF"/>
        </w:rPr>
        <w:t>2.3.</w:t>
      </w:r>
      <w:r w:rsidR="003767E4" w:rsidRPr="00EE25D1">
        <w:rPr>
          <w:rFonts w:ascii="Calibri" w:hAnsi="Calibri"/>
          <w:b/>
          <w:i/>
          <w:color w:val="000000" w:themeColor="text1"/>
          <w:shd w:val="clear" w:color="auto" w:fill="FFFFFF"/>
        </w:rPr>
        <w:t xml:space="preserve"> ¿</w:t>
      </w:r>
      <w:r w:rsidR="00BD52A9" w:rsidRPr="00EE25D1">
        <w:rPr>
          <w:rFonts w:ascii="Calibri" w:hAnsi="Calibri"/>
          <w:b/>
          <w:i/>
          <w:color w:val="000000" w:themeColor="text1"/>
          <w:shd w:val="clear" w:color="auto" w:fill="FFFFFF"/>
        </w:rPr>
        <w:t xml:space="preserve">El apoyo </w:t>
      </w:r>
      <w:r w:rsidR="003D72F6" w:rsidRPr="00EE25D1">
        <w:rPr>
          <w:rFonts w:ascii="Calibri" w:hAnsi="Calibri"/>
          <w:b/>
          <w:i/>
          <w:color w:val="000000" w:themeColor="text1"/>
          <w:shd w:val="clear" w:color="auto" w:fill="FFFFFF"/>
        </w:rPr>
        <w:t>desvirtúa el carácter intuitu personae del matrimonio?</w:t>
      </w:r>
    </w:p>
    <w:p w:rsidR="00372FA8" w:rsidRPr="00EE25D1" w:rsidRDefault="003C2652" w:rsidP="00D44BF1">
      <w:pPr>
        <w:pStyle w:val="Textonotapie"/>
        <w:spacing w:before="100" w:beforeAutospacing="1" w:after="100" w:afterAutospacing="1" w:line="276" w:lineRule="auto"/>
        <w:rPr>
          <w:rFonts w:ascii="Calibri" w:hAnsi="Calibri"/>
          <w:sz w:val="24"/>
          <w:szCs w:val="24"/>
        </w:rPr>
      </w:pPr>
      <w:r w:rsidRPr="00EE25D1">
        <w:rPr>
          <w:rFonts w:ascii="Calibri" w:hAnsi="Calibri"/>
          <w:color w:val="000000" w:themeColor="text1"/>
          <w:sz w:val="24"/>
          <w:szCs w:val="24"/>
          <w:shd w:val="clear" w:color="auto" w:fill="FFFFFF"/>
        </w:rPr>
        <w:t xml:space="preserve">En la doctrina </w:t>
      </w:r>
      <w:r w:rsidR="00776852" w:rsidRPr="00EE25D1">
        <w:rPr>
          <w:rFonts w:ascii="Calibri" w:hAnsi="Calibri"/>
          <w:color w:val="000000" w:themeColor="text1"/>
          <w:sz w:val="24"/>
          <w:szCs w:val="24"/>
          <w:shd w:val="clear" w:color="auto" w:fill="FFFFFF"/>
        </w:rPr>
        <w:t>y en la jurisprudencia</w:t>
      </w:r>
      <w:r w:rsidR="006B2DA1" w:rsidRPr="00EE25D1">
        <w:rPr>
          <w:rStyle w:val="Refdenotaalpie"/>
          <w:rFonts w:ascii="Calibri" w:hAnsi="Calibri"/>
          <w:color w:val="000000" w:themeColor="text1"/>
          <w:sz w:val="24"/>
          <w:szCs w:val="24"/>
          <w:shd w:val="clear" w:color="auto" w:fill="FFFFFF"/>
        </w:rPr>
        <w:footnoteReference w:id="14"/>
      </w:r>
      <w:r w:rsidRPr="00EE25D1">
        <w:rPr>
          <w:rFonts w:ascii="Calibri" w:hAnsi="Calibri"/>
          <w:color w:val="000000" w:themeColor="text1"/>
          <w:sz w:val="24"/>
          <w:szCs w:val="24"/>
          <w:shd w:val="clear" w:color="auto" w:fill="FFFFFF"/>
        </w:rPr>
        <w:t xml:space="preserve"> está consolidada la idea de que el matrimonio es un negocio jurídico </w:t>
      </w:r>
      <w:r w:rsidRPr="00EE25D1">
        <w:rPr>
          <w:rFonts w:ascii="Calibri" w:hAnsi="Calibri"/>
          <w:i/>
          <w:color w:val="000000" w:themeColor="text1"/>
          <w:sz w:val="24"/>
          <w:szCs w:val="24"/>
          <w:shd w:val="clear" w:color="auto" w:fill="FFFFFF"/>
        </w:rPr>
        <w:t>intuitu personae</w:t>
      </w:r>
      <w:r w:rsidR="00DF23B0" w:rsidRPr="00EE25D1">
        <w:rPr>
          <w:rFonts w:ascii="Calibri" w:hAnsi="Calibri"/>
          <w:color w:val="000000" w:themeColor="text1"/>
          <w:sz w:val="24"/>
          <w:szCs w:val="24"/>
          <w:shd w:val="clear" w:color="auto" w:fill="FFFFFF"/>
        </w:rPr>
        <w:t xml:space="preserve"> en sentido estricto. </w:t>
      </w:r>
      <w:r w:rsidR="00372FA8" w:rsidRPr="00EE25D1">
        <w:rPr>
          <w:rFonts w:ascii="Calibri" w:hAnsi="Calibri"/>
          <w:color w:val="000000" w:themeColor="text1"/>
          <w:sz w:val="24"/>
          <w:szCs w:val="24"/>
          <w:shd w:val="clear" w:color="auto" w:fill="FFFFFF"/>
        </w:rPr>
        <w:t>Sin embargo,</w:t>
      </w:r>
      <w:r w:rsidR="00A33C2A" w:rsidRPr="00EE25D1">
        <w:rPr>
          <w:rFonts w:ascii="Calibri" w:hAnsi="Calibri"/>
          <w:color w:val="000000" w:themeColor="text1"/>
          <w:sz w:val="24"/>
          <w:szCs w:val="24"/>
          <w:shd w:val="clear" w:color="auto" w:fill="FFFFFF"/>
        </w:rPr>
        <w:t xml:space="preserve"> como apunta</w:t>
      </w:r>
      <w:r w:rsidR="00F15F48" w:rsidRPr="00EE25D1">
        <w:rPr>
          <w:rFonts w:ascii="Calibri" w:hAnsi="Calibri"/>
          <w:color w:val="000000" w:themeColor="text1"/>
          <w:sz w:val="24"/>
          <w:szCs w:val="24"/>
          <w:shd w:val="clear" w:color="auto" w:fill="FFFFFF"/>
        </w:rPr>
        <w:t xml:space="preserve"> De Verda y Beamonte, </w:t>
      </w:r>
      <w:r w:rsidRPr="00EE25D1">
        <w:rPr>
          <w:rFonts w:ascii="Calibri" w:hAnsi="Calibri"/>
          <w:color w:val="000000" w:themeColor="text1"/>
          <w:sz w:val="24"/>
          <w:szCs w:val="24"/>
          <w:shd w:val="clear" w:color="auto" w:fill="FFFFFF"/>
        </w:rPr>
        <w:t>en otros países de nuestro entorno este carácter ha experimentado un retroceso, como</w:t>
      </w:r>
      <w:r w:rsidR="00815450" w:rsidRPr="00EE25D1">
        <w:rPr>
          <w:rFonts w:ascii="Calibri" w:hAnsi="Calibri"/>
          <w:color w:val="000000" w:themeColor="text1"/>
          <w:sz w:val="24"/>
          <w:szCs w:val="24"/>
          <w:shd w:val="clear" w:color="auto" w:fill="FFFFFF"/>
        </w:rPr>
        <w:t xml:space="preserve"> por ejemplo</w:t>
      </w:r>
      <w:r w:rsidRPr="00EE25D1">
        <w:rPr>
          <w:rFonts w:ascii="Calibri" w:hAnsi="Calibri"/>
          <w:color w:val="000000" w:themeColor="text1"/>
          <w:sz w:val="24"/>
          <w:szCs w:val="24"/>
          <w:shd w:val="clear" w:color="auto" w:fill="FFFFFF"/>
        </w:rPr>
        <w:t xml:space="preserve"> en Francia, donde el </w:t>
      </w:r>
      <w:r w:rsidR="0037190C" w:rsidRPr="00EE25D1">
        <w:rPr>
          <w:rFonts w:ascii="Calibri" w:hAnsi="Calibri"/>
          <w:sz w:val="24"/>
          <w:szCs w:val="24"/>
        </w:rPr>
        <w:t>artículo</w:t>
      </w:r>
      <w:r w:rsidRPr="00EE25D1">
        <w:rPr>
          <w:rFonts w:ascii="Calibri" w:hAnsi="Calibri"/>
          <w:color w:val="000000" w:themeColor="text1"/>
          <w:sz w:val="24"/>
          <w:szCs w:val="24"/>
          <w:shd w:val="clear" w:color="auto" w:fill="FFFFFF"/>
        </w:rPr>
        <w:t xml:space="preserve"> 460 del Código Civil francés, seg</w:t>
      </w:r>
      <w:r w:rsidR="00776852" w:rsidRPr="00EE25D1">
        <w:rPr>
          <w:rFonts w:ascii="Calibri" w:hAnsi="Calibri"/>
          <w:color w:val="000000" w:themeColor="text1"/>
          <w:sz w:val="24"/>
          <w:szCs w:val="24"/>
          <w:shd w:val="clear" w:color="auto" w:fill="FFFFFF"/>
        </w:rPr>
        <w:t>ún la redacción actual, dispone</w:t>
      </w:r>
      <w:r w:rsidRPr="00EE25D1">
        <w:rPr>
          <w:rFonts w:ascii="Calibri" w:hAnsi="Calibri"/>
          <w:color w:val="000000" w:themeColor="text1"/>
          <w:sz w:val="24"/>
          <w:szCs w:val="24"/>
          <w:shd w:val="clear" w:color="auto" w:fill="FFFFFF"/>
        </w:rPr>
        <w:t xml:space="preserve"> que el matrimonio de una persona sujeta a curatela no está permitido sin la autorización del curador o, en su defecto, del Juez, y</w:t>
      </w:r>
      <w:r w:rsidR="00776852" w:rsidRPr="00EE25D1">
        <w:rPr>
          <w:rFonts w:ascii="Calibri" w:hAnsi="Calibri"/>
          <w:color w:val="000000" w:themeColor="text1"/>
          <w:sz w:val="24"/>
          <w:szCs w:val="24"/>
          <w:shd w:val="clear" w:color="auto" w:fill="FFFFFF"/>
        </w:rPr>
        <w:t>,</w:t>
      </w:r>
      <w:r w:rsidRPr="00EE25D1">
        <w:rPr>
          <w:rFonts w:ascii="Calibri" w:hAnsi="Calibri"/>
          <w:color w:val="000000" w:themeColor="text1"/>
          <w:sz w:val="24"/>
          <w:szCs w:val="24"/>
          <w:shd w:val="clear" w:color="auto" w:fill="FFFFFF"/>
        </w:rPr>
        <w:t xml:space="preserve"> cuando el contrayente esté bajo una tutela</w:t>
      </w:r>
      <w:r w:rsidR="00776852" w:rsidRPr="00EE25D1">
        <w:rPr>
          <w:rFonts w:ascii="Calibri" w:hAnsi="Calibri"/>
          <w:color w:val="000000" w:themeColor="text1"/>
          <w:sz w:val="24"/>
          <w:szCs w:val="24"/>
          <w:shd w:val="clear" w:color="auto" w:fill="FFFFFF"/>
        </w:rPr>
        <w:t>,</w:t>
      </w:r>
      <w:r w:rsidRPr="00EE25D1">
        <w:rPr>
          <w:rFonts w:ascii="Calibri" w:hAnsi="Calibri"/>
          <w:color w:val="000000" w:themeColor="text1"/>
          <w:sz w:val="24"/>
          <w:szCs w:val="24"/>
          <w:shd w:val="clear" w:color="auto" w:fill="FFFFFF"/>
        </w:rPr>
        <w:t xml:space="preserve"> deberá recabarse autorización del Juez o del consej</w:t>
      </w:r>
      <w:r w:rsidR="00932721" w:rsidRPr="00EE25D1">
        <w:rPr>
          <w:rFonts w:ascii="Calibri" w:hAnsi="Calibri"/>
          <w:color w:val="000000" w:themeColor="text1"/>
          <w:sz w:val="24"/>
          <w:szCs w:val="24"/>
          <w:shd w:val="clear" w:color="auto" w:fill="FFFFFF"/>
        </w:rPr>
        <w:t>o de familia. El p</w:t>
      </w:r>
      <w:r w:rsidRPr="00EE25D1">
        <w:rPr>
          <w:rFonts w:ascii="Calibri" w:hAnsi="Calibri"/>
          <w:color w:val="000000" w:themeColor="text1"/>
          <w:sz w:val="24"/>
          <w:szCs w:val="24"/>
          <w:shd w:val="clear" w:color="auto" w:fill="FFFFFF"/>
        </w:rPr>
        <w:t>recepto que ha sido avalado por la STEDH 25 octubre 2018</w:t>
      </w:r>
      <w:r w:rsidR="00372FA8" w:rsidRPr="00EE25D1">
        <w:rPr>
          <w:rFonts w:ascii="Calibri" w:hAnsi="Calibri"/>
          <w:color w:val="000000" w:themeColor="text1"/>
          <w:sz w:val="24"/>
          <w:szCs w:val="24"/>
          <w:shd w:val="clear" w:color="auto" w:fill="FFFFFF"/>
        </w:rPr>
        <w:t xml:space="preserve">, </w:t>
      </w:r>
      <w:r w:rsidR="00776852" w:rsidRPr="00EE25D1">
        <w:rPr>
          <w:rFonts w:ascii="Calibri" w:hAnsi="Calibri"/>
          <w:color w:val="000000" w:themeColor="text1"/>
          <w:sz w:val="24"/>
          <w:szCs w:val="24"/>
          <w:shd w:val="clear" w:color="auto" w:fill="FFFFFF"/>
        </w:rPr>
        <w:t xml:space="preserve">declarando </w:t>
      </w:r>
      <w:r w:rsidR="00372FA8" w:rsidRPr="00EE25D1">
        <w:rPr>
          <w:rFonts w:ascii="Calibri" w:hAnsi="Calibri"/>
          <w:color w:val="000000" w:themeColor="text1"/>
          <w:sz w:val="24"/>
          <w:szCs w:val="24"/>
          <w:shd w:val="clear" w:color="auto" w:fill="FFFFFF"/>
        </w:rPr>
        <w:t xml:space="preserve">que no vulnera el </w:t>
      </w:r>
      <w:r w:rsidR="0037190C" w:rsidRPr="00EE25D1">
        <w:rPr>
          <w:rFonts w:ascii="Calibri" w:hAnsi="Calibri"/>
          <w:sz w:val="24"/>
          <w:szCs w:val="24"/>
        </w:rPr>
        <w:t>artículo</w:t>
      </w:r>
      <w:r w:rsidR="00372FA8" w:rsidRPr="00EE25D1">
        <w:rPr>
          <w:rFonts w:ascii="Calibri" w:hAnsi="Calibri"/>
          <w:color w:val="000000" w:themeColor="text1"/>
          <w:sz w:val="24"/>
          <w:szCs w:val="24"/>
          <w:shd w:val="clear" w:color="auto" w:fill="FFFFFF"/>
        </w:rPr>
        <w:t xml:space="preserve"> 12 </w:t>
      </w:r>
      <w:r w:rsidR="005051BC" w:rsidRPr="00EE25D1">
        <w:rPr>
          <w:rFonts w:ascii="Calibri" w:hAnsi="Calibri"/>
          <w:color w:val="000000" w:themeColor="text1"/>
          <w:sz w:val="24"/>
          <w:szCs w:val="24"/>
          <w:shd w:val="clear" w:color="auto" w:fill="FFFFFF"/>
        </w:rPr>
        <w:t>del Convenio para la Protección de los Derechos Humanos y de las Libertades Fundamentales, hecho en Roma el 4 de noviembre de 1950</w:t>
      </w:r>
      <w:r w:rsidR="00F15F48" w:rsidRPr="00EE25D1">
        <w:rPr>
          <w:rStyle w:val="Refdenotaalpie"/>
          <w:rFonts w:ascii="Calibri" w:hAnsi="Calibri"/>
          <w:color w:val="000000" w:themeColor="text1"/>
          <w:sz w:val="24"/>
          <w:szCs w:val="24"/>
          <w:shd w:val="clear" w:color="auto" w:fill="FFFFFF"/>
        </w:rPr>
        <w:footnoteReference w:id="15"/>
      </w:r>
      <w:r w:rsidR="00372FA8" w:rsidRPr="00EE25D1">
        <w:rPr>
          <w:rFonts w:ascii="Calibri" w:hAnsi="Calibri"/>
          <w:color w:val="000000" w:themeColor="text1"/>
          <w:sz w:val="24"/>
          <w:szCs w:val="24"/>
          <w:shd w:val="clear" w:color="auto" w:fill="FFFFFF"/>
        </w:rPr>
        <w:t xml:space="preserve">. </w:t>
      </w:r>
      <w:r w:rsidR="00BF6FAA" w:rsidRPr="00EE25D1">
        <w:rPr>
          <w:rFonts w:ascii="Calibri" w:hAnsi="Calibri"/>
          <w:color w:val="000000" w:themeColor="text1"/>
          <w:sz w:val="24"/>
          <w:szCs w:val="24"/>
          <w:shd w:val="clear" w:color="auto" w:fill="FFFFFF"/>
        </w:rPr>
        <w:t xml:space="preserve">Omitiendo la </w:t>
      </w:r>
      <w:r w:rsidR="00BF6FAA" w:rsidRPr="00EE25D1">
        <w:rPr>
          <w:rFonts w:ascii="Calibri" w:hAnsi="Calibri"/>
          <w:i/>
          <w:color w:val="000000" w:themeColor="text1"/>
          <w:sz w:val="24"/>
          <w:szCs w:val="24"/>
          <w:shd w:val="clear" w:color="auto" w:fill="FFFFFF"/>
        </w:rPr>
        <w:t>rara avis</w:t>
      </w:r>
      <w:r w:rsidR="00BF6FAA" w:rsidRPr="00EE25D1">
        <w:rPr>
          <w:rFonts w:ascii="Calibri" w:hAnsi="Calibri"/>
          <w:color w:val="000000" w:themeColor="text1"/>
          <w:sz w:val="24"/>
          <w:szCs w:val="24"/>
          <w:shd w:val="clear" w:color="auto" w:fill="FFFFFF"/>
        </w:rPr>
        <w:t xml:space="preserve"> francesa que, dicho sea de paso, representa una intromisión en un negocio existencial, </w:t>
      </w:r>
      <w:r w:rsidR="00BC1109" w:rsidRPr="00EE25D1">
        <w:rPr>
          <w:rFonts w:ascii="Calibri" w:hAnsi="Calibri"/>
          <w:color w:val="000000" w:themeColor="text1"/>
          <w:sz w:val="24"/>
          <w:szCs w:val="24"/>
          <w:shd w:val="clear" w:color="auto" w:fill="FFFFFF"/>
        </w:rPr>
        <w:t xml:space="preserve">la </w:t>
      </w:r>
      <w:r w:rsidR="00BC1109" w:rsidRPr="00EE25D1">
        <w:rPr>
          <w:rFonts w:ascii="Calibri" w:hAnsi="Calibri"/>
          <w:i/>
          <w:color w:val="000000" w:themeColor="text1"/>
          <w:sz w:val="24"/>
          <w:szCs w:val="24"/>
          <w:shd w:val="clear" w:color="auto" w:fill="FFFFFF"/>
        </w:rPr>
        <w:t>opinio iuris</w:t>
      </w:r>
      <w:r w:rsidR="00BC1109" w:rsidRPr="00EE25D1">
        <w:rPr>
          <w:rFonts w:ascii="Calibri" w:hAnsi="Calibri"/>
          <w:color w:val="000000" w:themeColor="text1"/>
          <w:sz w:val="24"/>
          <w:szCs w:val="24"/>
          <w:shd w:val="clear" w:color="auto" w:fill="FFFFFF"/>
        </w:rPr>
        <w:t xml:space="preserve"> en España aboga</w:t>
      </w:r>
      <w:r w:rsidR="00DF7C2E" w:rsidRPr="00EE25D1">
        <w:rPr>
          <w:rFonts w:ascii="Calibri" w:hAnsi="Calibri"/>
          <w:color w:val="000000" w:themeColor="text1"/>
          <w:sz w:val="24"/>
          <w:szCs w:val="24"/>
          <w:shd w:val="clear" w:color="auto" w:fill="FFFFFF"/>
        </w:rPr>
        <w:t xml:space="preserve"> por la</w:t>
      </w:r>
      <w:r w:rsidR="00BF6FAA" w:rsidRPr="00EE25D1">
        <w:rPr>
          <w:rFonts w:ascii="Calibri" w:hAnsi="Calibri"/>
          <w:color w:val="000000" w:themeColor="text1"/>
          <w:sz w:val="24"/>
          <w:szCs w:val="24"/>
          <w:shd w:val="clear" w:color="auto" w:fill="FFFFFF"/>
        </w:rPr>
        <w:t xml:space="preserve"> naturaleza personalísima del matrimonio, lo que implica, a efectos prácticos, que solo el contrayente se configura como parte en la perfección del mismo, sin que su voluntad pueda ser sustituida o complementada por un tercero</w:t>
      </w:r>
      <w:r w:rsidR="00067C54" w:rsidRPr="00EE25D1">
        <w:rPr>
          <w:rStyle w:val="Refdenotaalpie"/>
          <w:rFonts w:ascii="Calibri" w:hAnsi="Calibri"/>
          <w:color w:val="000000" w:themeColor="text1"/>
          <w:sz w:val="24"/>
          <w:szCs w:val="24"/>
          <w:shd w:val="clear" w:color="auto" w:fill="FFFFFF"/>
        </w:rPr>
        <w:footnoteReference w:id="16"/>
      </w:r>
      <w:r w:rsidR="00BF6FAA" w:rsidRPr="00EE25D1">
        <w:rPr>
          <w:rFonts w:ascii="Calibri" w:hAnsi="Calibri"/>
          <w:color w:val="000000" w:themeColor="text1"/>
          <w:sz w:val="24"/>
          <w:szCs w:val="24"/>
          <w:shd w:val="clear" w:color="auto" w:fill="FFFFFF"/>
        </w:rPr>
        <w:t xml:space="preserve">. </w:t>
      </w:r>
    </w:p>
    <w:p w:rsidR="00BF6FAA" w:rsidRPr="00EE25D1" w:rsidRDefault="006D330D"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Ya adelantamos que </w:t>
      </w:r>
      <w:r w:rsidR="00BF6FAA" w:rsidRPr="00EE25D1">
        <w:rPr>
          <w:rFonts w:ascii="Calibri" w:hAnsi="Calibri"/>
          <w:color w:val="000000" w:themeColor="text1"/>
          <w:shd w:val="clear" w:color="auto" w:fill="FFFFFF"/>
        </w:rPr>
        <w:t>si se equipara</w:t>
      </w:r>
      <w:r w:rsidR="00DC7E5E" w:rsidRPr="00EE25D1">
        <w:rPr>
          <w:rFonts w:ascii="Calibri" w:hAnsi="Calibri"/>
          <w:color w:val="000000" w:themeColor="text1"/>
          <w:shd w:val="clear" w:color="auto" w:fill="FFFFFF"/>
        </w:rPr>
        <w:t>se</w:t>
      </w:r>
      <w:r w:rsidR="00BF6FAA" w:rsidRPr="00EE25D1">
        <w:rPr>
          <w:rFonts w:ascii="Calibri" w:hAnsi="Calibri"/>
          <w:color w:val="000000" w:themeColor="text1"/>
          <w:shd w:val="clear" w:color="auto" w:fill="FFFFFF"/>
        </w:rPr>
        <w:t xml:space="preserve"> el apoyo </w:t>
      </w:r>
      <w:r w:rsidR="00C42A87" w:rsidRPr="00EE25D1">
        <w:rPr>
          <w:rFonts w:ascii="Calibri" w:hAnsi="Calibri"/>
          <w:color w:val="000000" w:themeColor="text1"/>
          <w:shd w:val="clear" w:color="auto" w:fill="FFFFFF"/>
        </w:rPr>
        <w:t>al</w:t>
      </w:r>
      <w:r w:rsidR="00BF6FAA" w:rsidRPr="00EE25D1">
        <w:rPr>
          <w:rFonts w:ascii="Calibri" w:hAnsi="Calibri"/>
          <w:color w:val="000000" w:themeColor="text1"/>
          <w:shd w:val="clear" w:color="auto" w:fill="FFFFFF"/>
        </w:rPr>
        <w:t xml:space="preserve"> complemento de capacidad que dispensaba</w:t>
      </w:r>
      <w:r w:rsidR="00C42A87" w:rsidRPr="00EE25D1">
        <w:rPr>
          <w:rFonts w:ascii="Calibri" w:hAnsi="Calibri"/>
          <w:color w:val="000000" w:themeColor="text1"/>
          <w:shd w:val="clear" w:color="auto" w:fill="FFFFFF"/>
        </w:rPr>
        <w:t xml:space="preserve"> al amparo de la derogada regulación</w:t>
      </w:r>
      <w:r w:rsidR="00BF6FAA" w:rsidRPr="00EE25D1">
        <w:rPr>
          <w:rFonts w:ascii="Calibri" w:hAnsi="Calibri"/>
          <w:color w:val="000000" w:themeColor="text1"/>
          <w:shd w:val="clear" w:color="auto" w:fill="FFFFFF"/>
        </w:rPr>
        <w:t xml:space="preserve"> el curador a una persona incapacitada parcialmente</w:t>
      </w:r>
      <w:r w:rsidR="00BC1109" w:rsidRPr="00EE25D1">
        <w:rPr>
          <w:rFonts w:ascii="Calibri" w:hAnsi="Calibri"/>
          <w:color w:val="000000" w:themeColor="text1"/>
          <w:shd w:val="clear" w:color="auto" w:fill="FFFFFF"/>
        </w:rPr>
        <w:t xml:space="preserve"> o con la capacidad modificada judicialmente</w:t>
      </w:r>
      <w:r w:rsidR="00BF6FAA" w:rsidRPr="00EE25D1">
        <w:rPr>
          <w:rFonts w:ascii="Calibri" w:hAnsi="Calibri"/>
          <w:color w:val="000000" w:themeColor="text1"/>
          <w:shd w:val="clear" w:color="auto" w:fill="FFFFFF"/>
        </w:rPr>
        <w:t>, el apoyo crista</w:t>
      </w:r>
      <w:r w:rsidR="00C71F23" w:rsidRPr="00EE25D1">
        <w:rPr>
          <w:rFonts w:ascii="Calibri" w:hAnsi="Calibri"/>
          <w:color w:val="000000" w:themeColor="text1"/>
          <w:shd w:val="clear" w:color="auto" w:fill="FFFFFF"/>
        </w:rPr>
        <w:t xml:space="preserve">lizado en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BF6FAA" w:rsidRPr="00EE25D1">
        <w:rPr>
          <w:rFonts w:ascii="Calibri" w:hAnsi="Calibri"/>
          <w:color w:val="000000" w:themeColor="text1"/>
          <w:shd w:val="clear" w:color="auto" w:fill="FFFFFF"/>
        </w:rPr>
        <w:t xml:space="preserve"> </w:t>
      </w:r>
      <w:r w:rsidR="00C121F7" w:rsidRPr="00EE25D1">
        <w:rPr>
          <w:rFonts w:ascii="Calibri" w:hAnsi="Calibri"/>
          <w:color w:val="000000" w:themeColor="text1"/>
          <w:shd w:val="clear" w:color="auto" w:fill="FFFFFF"/>
        </w:rPr>
        <w:t xml:space="preserve">respecto a las personas con discapacidad </w:t>
      </w:r>
      <w:r w:rsidR="00F94A70" w:rsidRPr="00EE25D1">
        <w:rPr>
          <w:rFonts w:ascii="Calibri" w:hAnsi="Calibri"/>
          <w:color w:val="000000" w:themeColor="text1"/>
          <w:shd w:val="clear" w:color="auto" w:fill="FFFFFF"/>
        </w:rPr>
        <w:t>mental o intelectual</w:t>
      </w:r>
      <w:r w:rsidR="00C121F7" w:rsidRPr="00EE25D1">
        <w:rPr>
          <w:rFonts w:ascii="Calibri" w:hAnsi="Calibri"/>
          <w:color w:val="000000" w:themeColor="text1"/>
          <w:shd w:val="clear" w:color="auto" w:fill="FFFFFF"/>
        </w:rPr>
        <w:t xml:space="preserve"> dejaría en aguas de borrajas el carácter </w:t>
      </w:r>
      <w:r w:rsidR="00C121F7" w:rsidRPr="00EE25D1">
        <w:rPr>
          <w:rFonts w:ascii="Calibri" w:hAnsi="Calibri"/>
          <w:i/>
          <w:color w:val="000000" w:themeColor="text1"/>
          <w:shd w:val="clear" w:color="auto" w:fill="FFFFFF"/>
        </w:rPr>
        <w:t>intuitu personae</w:t>
      </w:r>
      <w:r w:rsidR="00BC1109" w:rsidRPr="00EE25D1">
        <w:rPr>
          <w:rFonts w:ascii="Calibri" w:hAnsi="Calibri"/>
          <w:color w:val="000000" w:themeColor="text1"/>
          <w:shd w:val="clear" w:color="auto" w:fill="FFFFFF"/>
        </w:rPr>
        <w:t xml:space="preserve"> del matrimonio</w:t>
      </w:r>
      <w:r w:rsidR="004936C0" w:rsidRPr="00EE25D1">
        <w:rPr>
          <w:rStyle w:val="Refdenotaalpie"/>
          <w:rFonts w:ascii="Calibri" w:hAnsi="Calibri"/>
          <w:color w:val="000000" w:themeColor="text1"/>
          <w:shd w:val="clear" w:color="auto" w:fill="FFFFFF"/>
        </w:rPr>
        <w:footnoteReference w:id="17"/>
      </w:r>
      <w:r w:rsidR="00BC1109" w:rsidRPr="00EE25D1">
        <w:rPr>
          <w:rFonts w:ascii="Calibri" w:hAnsi="Calibri"/>
          <w:color w:val="000000" w:themeColor="text1"/>
          <w:shd w:val="clear" w:color="auto" w:fill="FFFFFF"/>
        </w:rPr>
        <w:t>;</w:t>
      </w:r>
      <w:r w:rsidR="00C121F7" w:rsidRPr="00EE25D1">
        <w:rPr>
          <w:rFonts w:ascii="Calibri" w:hAnsi="Calibri"/>
          <w:color w:val="000000" w:themeColor="text1"/>
          <w:shd w:val="clear" w:color="auto" w:fill="FFFFFF"/>
        </w:rPr>
        <w:t xml:space="preserve"> </w:t>
      </w:r>
      <w:r w:rsidR="00DC7E5E" w:rsidRPr="00EE25D1">
        <w:rPr>
          <w:rFonts w:ascii="Calibri" w:hAnsi="Calibri"/>
          <w:color w:val="000000" w:themeColor="text1"/>
          <w:shd w:val="clear" w:color="auto" w:fill="FFFFFF"/>
        </w:rPr>
        <w:t>en cambio, si lo incardinamos</w:t>
      </w:r>
      <w:r w:rsidR="00C121F7" w:rsidRPr="00EE25D1">
        <w:rPr>
          <w:rFonts w:ascii="Calibri" w:hAnsi="Calibri"/>
          <w:color w:val="000000" w:themeColor="text1"/>
          <w:shd w:val="clear" w:color="auto" w:fill="FFFFFF"/>
        </w:rPr>
        <w:t xml:space="preserve"> extramuros del complemento de capacidad, el carácter personalísimo del matrimonio </w:t>
      </w:r>
      <w:r w:rsidR="00C42A87" w:rsidRPr="00EE25D1">
        <w:rPr>
          <w:rFonts w:ascii="Calibri" w:hAnsi="Calibri"/>
          <w:color w:val="000000" w:themeColor="text1"/>
          <w:shd w:val="clear" w:color="auto" w:fill="FFFFFF"/>
        </w:rPr>
        <w:t>se mantendría incólume</w:t>
      </w:r>
      <w:r w:rsidR="00435D59" w:rsidRPr="00EE25D1">
        <w:rPr>
          <w:rStyle w:val="Refdenotaalpie"/>
          <w:rFonts w:ascii="Calibri" w:hAnsi="Calibri"/>
          <w:color w:val="000000" w:themeColor="text1"/>
          <w:shd w:val="clear" w:color="auto" w:fill="FFFFFF"/>
        </w:rPr>
        <w:footnoteReference w:id="18"/>
      </w:r>
      <w:r w:rsidR="00C42A87" w:rsidRPr="00EE25D1">
        <w:rPr>
          <w:rFonts w:ascii="Calibri" w:hAnsi="Calibri"/>
          <w:color w:val="000000" w:themeColor="text1"/>
          <w:shd w:val="clear" w:color="auto" w:fill="FFFFFF"/>
        </w:rPr>
        <w:t>.</w:t>
      </w:r>
    </w:p>
    <w:p w:rsidR="003D72F6" w:rsidRPr="00EE25D1" w:rsidRDefault="001E4A61" w:rsidP="00D44BF1">
      <w:pPr>
        <w:tabs>
          <w:tab w:val="left" w:pos="8505"/>
        </w:tabs>
        <w:spacing w:before="100" w:beforeAutospacing="1" w:after="100" w:afterAutospacing="1"/>
        <w:rPr>
          <w:rFonts w:ascii="Calibri" w:hAnsi="Calibri"/>
        </w:rPr>
      </w:pPr>
      <w:r w:rsidRPr="00EE25D1">
        <w:rPr>
          <w:rFonts w:ascii="Calibri" w:hAnsi="Calibri"/>
          <w:color w:val="000000" w:themeColor="text1"/>
          <w:shd w:val="clear" w:color="auto" w:fill="FFFFFF"/>
        </w:rPr>
        <w:t>Hilvanando lo expuesto con las categorías clásicas que</w:t>
      </w:r>
      <w:r w:rsidR="000D2E0D" w:rsidRPr="00EE25D1">
        <w:rPr>
          <w:rFonts w:ascii="Calibri" w:hAnsi="Calibri"/>
          <w:color w:val="000000" w:themeColor="text1"/>
          <w:shd w:val="clear" w:color="auto" w:fill="FFFFFF"/>
        </w:rPr>
        <w:t xml:space="preserve"> </w:t>
      </w:r>
      <w:r w:rsidR="001432AB" w:rsidRPr="00EE25D1">
        <w:rPr>
          <w:rFonts w:ascii="Calibri" w:hAnsi="Calibri"/>
          <w:color w:val="000000" w:themeColor="text1"/>
          <w:shd w:val="clear" w:color="auto" w:fill="FFFFFF"/>
        </w:rPr>
        <w:t>han jalonado</w:t>
      </w:r>
      <w:r w:rsidR="000D2E0D" w:rsidRPr="00EE25D1">
        <w:rPr>
          <w:rFonts w:ascii="Calibri" w:hAnsi="Calibri"/>
          <w:color w:val="000000" w:themeColor="text1"/>
          <w:shd w:val="clear" w:color="auto" w:fill="FFFFFF"/>
        </w:rPr>
        <w:t xml:space="preserve"> el </w:t>
      </w:r>
      <w:r w:rsidR="001432AB" w:rsidRPr="00EE25D1">
        <w:rPr>
          <w:rFonts w:ascii="Calibri" w:hAnsi="Calibri"/>
          <w:color w:val="000000" w:themeColor="text1"/>
          <w:shd w:val="clear" w:color="auto" w:fill="FFFFFF"/>
        </w:rPr>
        <w:t>esquema</w:t>
      </w:r>
      <w:r w:rsidR="000D2E0D" w:rsidRPr="00EE25D1">
        <w:rPr>
          <w:rFonts w:ascii="Calibri" w:hAnsi="Calibri"/>
          <w:color w:val="000000" w:themeColor="text1"/>
          <w:shd w:val="clear" w:color="auto" w:fill="FFFFFF"/>
        </w:rPr>
        <w:t xml:space="preserve"> </w:t>
      </w:r>
      <w:r w:rsidR="00385789" w:rsidRPr="00EE25D1">
        <w:rPr>
          <w:rFonts w:ascii="Calibri" w:hAnsi="Calibri"/>
          <w:color w:val="000000" w:themeColor="text1"/>
          <w:shd w:val="clear" w:color="auto" w:fill="FFFFFF"/>
        </w:rPr>
        <w:t xml:space="preserve">expositivo </w:t>
      </w:r>
      <w:r w:rsidR="000D2E0D" w:rsidRPr="00EE25D1">
        <w:rPr>
          <w:rFonts w:ascii="Calibri" w:hAnsi="Calibri"/>
          <w:color w:val="000000" w:themeColor="text1"/>
          <w:shd w:val="clear" w:color="auto" w:fill="FFFFFF"/>
        </w:rPr>
        <w:t>de la capacidad, en la doctrina</w:t>
      </w:r>
      <w:r w:rsidR="00C121F7" w:rsidRPr="00EE25D1">
        <w:rPr>
          <w:rFonts w:ascii="Calibri" w:hAnsi="Calibri"/>
          <w:color w:val="000000" w:themeColor="text1"/>
          <w:shd w:val="clear" w:color="auto" w:fill="FFFFFF"/>
        </w:rPr>
        <w:t xml:space="preserve"> existen autores que, publicada la </w:t>
      </w:r>
      <w:r w:rsidR="00A33EBD" w:rsidRPr="00EE25D1">
        <w:rPr>
          <w:rFonts w:ascii="Calibri" w:hAnsi="Calibri"/>
        </w:rPr>
        <w:t xml:space="preserve">LAPCD, han defendido </w:t>
      </w:r>
      <w:r w:rsidR="00C121F7" w:rsidRPr="00EE25D1">
        <w:rPr>
          <w:rFonts w:ascii="Calibri" w:hAnsi="Calibri"/>
        </w:rPr>
        <w:t>el binomio capacidad jurídica y capacidad de obrar</w:t>
      </w:r>
      <w:r w:rsidR="001432AB" w:rsidRPr="00EE25D1">
        <w:rPr>
          <w:rStyle w:val="Refdenotaalpie"/>
          <w:rFonts w:ascii="Calibri" w:hAnsi="Calibri"/>
        </w:rPr>
        <w:footnoteReference w:id="19"/>
      </w:r>
      <w:r w:rsidR="00C121F7" w:rsidRPr="00EE25D1">
        <w:rPr>
          <w:rFonts w:ascii="Calibri" w:hAnsi="Calibri"/>
        </w:rPr>
        <w:t xml:space="preserve">. El novísimo </w:t>
      </w:r>
      <w:r w:rsidR="00DC7E5E" w:rsidRPr="00EE25D1">
        <w:rPr>
          <w:rFonts w:ascii="Calibri" w:hAnsi="Calibri"/>
        </w:rPr>
        <w:t>instrumento legal</w:t>
      </w:r>
      <w:r w:rsidR="00C121F7" w:rsidRPr="00EE25D1">
        <w:rPr>
          <w:rFonts w:ascii="Calibri" w:hAnsi="Calibri"/>
        </w:rPr>
        <w:t xml:space="preserve"> </w:t>
      </w:r>
      <w:r w:rsidR="00C42A87" w:rsidRPr="00EE25D1">
        <w:rPr>
          <w:rFonts w:ascii="Calibri" w:hAnsi="Calibri"/>
        </w:rPr>
        <w:t>deja en el olvido</w:t>
      </w:r>
      <w:r w:rsidR="00C121F7" w:rsidRPr="00EE25D1">
        <w:rPr>
          <w:rFonts w:ascii="Calibri" w:hAnsi="Calibri"/>
        </w:rPr>
        <w:t xml:space="preserve"> la </w:t>
      </w:r>
      <w:r w:rsidR="006B2DA1" w:rsidRPr="00EE25D1">
        <w:rPr>
          <w:rFonts w:ascii="Calibri" w:hAnsi="Calibri"/>
        </w:rPr>
        <w:t>capacidad de obrar</w:t>
      </w:r>
      <w:r w:rsidR="00C121F7" w:rsidRPr="00EE25D1">
        <w:rPr>
          <w:rFonts w:ascii="Calibri" w:hAnsi="Calibri"/>
        </w:rPr>
        <w:t>, toda vez que, sin decir expresamente que la misma ha perdido su virtualidad, emplea constantemente las expresiones capacidad jurídica y ejercicio de la capacidad jurídica. Consideramos que, siendo tributaria la capacidad de obrar de la dogmática, no del legislador, difícilmente</w:t>
      </w:r>
      <w:r w:rsidR="00115F00" w:rsidRPr="00EE25D1">
        <w:rPr>
          <w:rFonts w:ascii="Calibri" w:hAnsi="Calibri"/>
        </w:rPr>
        <w:t xml:space="preserve"> este</w:t>
      </w:r>
      <w:r w:rsidR="00C121F7" w:rsidRPr="00EE25D1">
        <w:rPr>
          <w:rFonts w:ascii="Calibri" w:hAnsi="Calibri"/>
        </w:rPr>
        <w:t xml:space="preserve"> podrá</w:t>
      </w:r>
      <w:r w:rsidR="005E0E2F" w:rsidRPr="00EE25D1">
        <w:rPr>
          <w:rFonts w:ascii="Calibri" w:hAnsi="Calibri"/>
        </w:rPr>
        <w:t xml:space="preserve"> derogarla</w:t>
      </w:r>
      <w:r w:rsidR="00C121F7" w:rsidRPr="00EE25D1">
        <w:rPr>
          <w:rFonts w:ascii="Calibri" w:hAnsi="Calibri"/>
        </w:rPr>
        <w:t xml:space="preserve"> </w:t>
      </w:r>
      <w:r w:rsidR="00C121F7" w:rsidRPr="00EE25D1">
        <w:rPr>
          <w:rFonts w:ascii="Calibri" w:hAnsi="Calibri"/>
          <w:i/>
        </w:rPr>
        <w:t>ex profeso</w:t>
      </w:r>
      <w:r w:rsidR="005E0E2F" w:rsidRPr="00EE25D1">
        <w:rPr>
          <w:rFonts w:ascii="Calibri" w:hAnsi="Calibri"/>
        </w:rPr>
        <w:t>.</w:t>
      </w:r>
      <w:r w:rsidR="00BC1109" w:rsidRPr="00EE25D1">
        <w:rPr>
          <w:rFonts w:ascii="Calibri" w:hAnsi="Calibri"/>
        </w:rPr>
        <w:t xml:space="preserve"> </w:t>
      </w:r>
      <w:r w:rsidR="00DC7E5E" w:rsidRPr="00EE25D1">
        <w:rPr>
          <w:rFonts w:ascii="Calibri" w:hAnsi="Calibri"/>
        </w:rPr>
        <w:t>No obstante</w:t>
      </w:r>
      <w:r w:rsidR="00BC1109" w:rsidRPr="00EE25D1">
        <w:rPr>
          <w:rFonts w:ascii="Calibri" w:hAnsi="Calibri"/>
        </w:rPr>
        <w:t>, aunque</w:t>
      </w:r>
      <w:r w:rsidR="0000503E" w:rsidRPr="00EE25D1">
        <w:rPr>
          <w:rFonts w:ascii="Calibri" w:hAnsi="Calibri"/>
        </w:rPr>
        <w:t xml:space="preserve"> el citado binarismo</w:t>
      </w:r>
      <w:r w:rsidR="00815450" w:rsidRPr="00EE25D1">
        <w:rPr>
          <w:rFonts w:ascii="Calibri" w:hAnsi="Calibri"/>
        </w:rPr>
        <w:t xml:space="preserve"> pueda</w:t>
      </w:r>
      <w:r w:rsidR="00C121F7" w:rsidRPr="00EE25D1">
        <w:rPr>
          <w:rFonts w:ascii="Calibri" w:hAnsi="Calibri"/>
        </w:rPr>
        <w:t xml:space="preserve"> ser útil para </w:t>
      </w:r>
      <w:r w:rsidR="006B2DA1" w:rsidRPr="00EE25D1">
        <w:rPr>
          <w:rFonts w:ascii="Calibri" w:hAnsi="Calibri"/>
        </w:rPr>
        <w:t>diferenciar</w:t>
      </w:r>
      <w:r w:rsidR="00320562" w:rsidRPr="00EE25D1">
        <w:rPr>
          <w:rFonts w:ascii="Calibri" w:hAnsi="Calibri"/>
        </w:rPr>
        <w:t>, en la esfera civil,</w:t>
      </w:r>
      <w:r w:rsidR="00C121F7" w:rsidRPr="00EE25D1">
        <w:rPr>
          <w:rFonts w:ascii="Calibri" w:hAnsi="Calibri"/>
        </w:rPr>
        <w:t xml:space="preserve"> a aquellas personas que, por edad o enfermedad, no poseen discernimiento alguno, como los recién nacidos o las personas con una oligofrenia severa o un alzhéimer avanzado, de aquellas otras que gozan de plenitud en</w:t>
      </w:r>
      <w:r w:rsidR="00BC1109" w:rsidRPr="00EE25D1">
        <w:rPr>
          <w:rFonts w:ascii="Calibri" w:hAnsi="Calibri"/>
        </w:rPr>
        <w:t xml:space="preserve"> el ejercicio de sus derechos, s</w:t>
      </w:r>
      <w:r w:rsidR="00C121F7" w:rsidRPr="00EE25D1">
        <w:rPr>
          <w:rFonts w:ascii="Calibri" w:hAnsi="Calibri"/>
        </w:rPr>
        <w:t xml:space="preserve">in embargo, </w:t>
      </w:r>
      <w:r w:rsidR="005E0E2F" w:rsidRPr="00EE25D1">
        <w:rPr>
          <w:rFonts w:ascii="Calibri" w:hAnsi="Calibri"/>
        </w:rPr>
        <w:t>resulta inoperante</w:t>
      </w:r>
      <w:r w:rsidR="00385789" w:rsidRPr="00EE25D1">
        <w:rPr>
          <w:rFonts w:ascii="Calibri" w:hAnsi="Calibri"/>
        </w:rPr>
        <w:t xml:space="preserve"> o insuficiente</w:t>
      </w:r>
      <w:r w:rsidR="00815450" w:rsidRPr="00EE25D1">
        <w:rPr>
          <w:rFonts w:ascii="Calibri" w:hAnsi="Calibri"/>
        </w:rPr>
        <w:t>, de acuerdo con la LAPCD,</w:t>
      </w:r>
      <w:r w:rsidR="00B0159C" w:rsidRPr="00EE25D1">
        <w:rPr>
          <w:rFonts w:ascii="Calibri" w:hAnsi="Calibri"/>
        </w:rPr>
        <w:t xml:space="preserve"> en la tarea de identificar </w:t>
      </w:r>
      <w:r w:rsidR="00320562" w:rsidRPr="00EE25D1">
        <w:rPr>
          <w:rFonts w:ascii="Calibri" w:hAnsi="Calibri"/>
        </w:rPr>
        <w:t>el término intermedio, esto es, aquellos</w:t>
      </w:r>
      <w:r w:rsidR="00C121F7" w:rsidRPr="00EE25D1">
        <w:rPr>
          <w:rFonts w:ascii="Calibri" w:hAnsi="Calibri"/>
        </w:rPr>
        <w:t xml:space="preserve"> </w:t>
      </w:r>
      <w:r w:rsidR="00C121F7" w:rsidRPr="00EE25D1">
        <w:rPr>
          <w:rFonts w:ascii="Calibri" w:hAnsi="Calibri"/>
          <w:i/>
        </w:rPr>
        <w:t>tertium genus</w:t>
      </w:r>
      <w:r w:rsidR="004507D5" w:rsidRPr="00EE25D1">
        <w:rPr>
          <w:rFonts w:ascii="Calibri" w:hAnsi="Calibri"/>
          <w:i/>
        </w:rPr>
        <w:t xml:space="preserve"> </w:t>
      </w:r>
      <w:r w:rsidR="004507D5" w:rsidRPr="00EE25D1">
        <w:rPr>
          <w:rFonts w:ascii="Calibri" w:hAnsi="Calibri"/>
        </w:rPr>
        <w:t>que discurren entre</w:t>
      </w:r>
      <w:r w:rsidR="00320562" w:rsidRPr="00EE25D1">
        <w:rPr>
          <w:rFonts w:ascii="Calibri" w:hAnsi="Calibri"/>
        </w:rPr>
        <w:t xml:space="preserve"> los</w:t>
      </w:r>
      <w:r w:rsidR="004507D5" w:rsidRPr="00EE25D1">
        <w:rPr>
          <w:rFonts w:ascii="Calibri" w:hAnsi="Calibri"/>
        </w:rPr>
        <w:t xml:space="preserve"> que carecen, absolutamente, </w:t>
      </w:r>
      <w:r w:rsidR="00DF7C2E" w:rsidRPr="00EE25D1">
        <w:rPr>
          <w:rFonts w:ascii="Calibri" w:hAnsi="Calibri"/>
        </w:rPr>
        <w:t>de aptitudes cognitivas e intelectivas para formar su voluntad</w:t>
      </w:r>
      <w:r w:rsidR="00A3775A" w:rsidRPr="00EE25D1">
        <w:rPr>
          <w:rFonts w:ascii="Calibri" w:hAnsi="Calibri"/>
        </w:rPr>
        <w:t xml:space="preserve"> y </w:t>
      </w:r>
      <w:r w:rsidR="00115F00" w:rsidRPr="00EE25D1">
        <w:rPr>
          <w:rFonts w:ascii="Calibri" w:hAnsi="Calibri"/>
        </w:rPr>
        <w:t>aquello</w:t>
      </w:r>
      <w:r w:rsidR="00320562" w:rsidRPr="00EE25D1">
        <w:rPr>
          <w:rFonts w:ascii="Calibri" w:hAnsi="Calibri"/>
        </w:rPr>
        <w:t>s otros</w:t>
      </w:r>
      <w:r w:rsidR="004507D5" w:rsidRPr="00EE25D1">
        <w:rPr>
          <w:rFonts w:ascii="Calibri" w:hAnsi="Calibri"/>
        </w:rPr>
        <w:t xml:space="preserve"> que gozan de </w:t>
      </w:r>
      <w:r w:rsidR="00DF7C2E" w:rsidRPr="00EE25D1">
        <w:rPr>
          <w:rFonts w:ascii="Calibri" w:hAnsi="Calibri"/>
        </w:rPr>
        <w:t>plenitud</w:t>
      </w:r>
      <w:r w:rsidR="004507D5" w:rsidRPr="00EE25D1">
        <w:rPr>
          <w:rFonts w:ascii="Calibri" w:hAnsi="Calibri"/>
        </w:rPr>
        <w:t xml:space="preserve">, pues donde antes se </w:t>
      </w:r>
      <w:r w:rsidR="00A3775A" w:rsidRPr="00EE25D1">
        <w:rPr>
          <w:rFonts w:ascii="Calibri" w:hAnsi="Calibri"/>
        </w:rPr>
        <w:t>decía</w:t>
      </w:r>
      <w:r w:rsidR="004507D5" w:rsidRPr="00EE25D1">
        <w:rPr>
          <w:rFonts w:ascii="Calibri" w:hAnsi="Calibri"/>
        </w:rPr>
        <w:t xml:space="preserve"> </w:t>
      </w:r>
      <w:r w:rsidR="00713CC7" w:rsidRPr="00EE25D1">
        <w:rPr>
          <w:rFonts w:ascii="Calibri" w:hAnsi="Calibri"/>
        </w:rPr>
        <w:t>“</w:t>
      </w:r>
      <w:r w:rsidR="004507D5" w:rsidRPr="00EE25D1">
        <w:rPr>
          <w:rFonts w:ascii="Calibri" w:hAnsi="Calibri"/>
        </w:rPr>
        <w:t xml:space="preserve">capacidad de obrar </w:t>
      </w:r>
      <w:r w:rsidR="00A3775A" w:rsidRPr="00EE25D1">
        <w:rPr>
          <w:rFonts w:ascii="Calibri" w:hAnsi="Calibri"/>
        </w:rPr>
        <w:t>restringida</w:t>
      </w:r>
      <w:r w:rsidR="00713CC7" w:rsidRPr="00EE25D1">
        <w:rPr>
          <w:rFonts w:ascii="Calibri" w:hAnsi="Calibri"/>
        </w:rPr>
        <w:t>”</w:t>
      </w:r>
      <w:r w:rsidR="00067B3E" w:rsidRPr="00EE25D1">
        <w:rPr>
          <w:rStyle w:val="Refdenotaalpie"/>
          <w:rFonts w:ascii="Calibri" w:hAnsi="Calibri"/>
        </w:rPr>
        <w:t xml:space="preserve"> </w:t>
      </w:r>
      <w:r w:rsidR="00067B3E" w:rsidRPr="00EE25D1">
        <w:rPr>
          <w:rStyle w:val="Refdenotaalpie"/>
          <w:rFonts w:ascii="Calibri" w:hAnsi="Calibri"/>
        </w:rPr>
        <w:footnoteReference w:id="20"/>
      </w:r>
      <w:r w:rsidR="00B36821" w:rsidRPr="00EE25D1">
        <w:rPr>
          <w:rFonts w:ascii="Calibri" w:hAnsi="Calibri"/>
        </w:rPr>
        <w:t>, situada</w:t>
      </w:r>
      <w:r w:rsidR="006167F6" w:rsidRPr="00EE25D1">
        <w:rPr>
          <w:rFonts w:ascii="Calibri" w:hAnsi="Calibri"/>
        </w:rPr>
        <w:t>, generalmente,</w:t>
      </w:r>
      <w:r w:rsidR="00B36821" w:rsidRPr="00EE25D1">
        <w:rPr>
          <w:rFonts w:ascii="Calibri" w:hAnsi="Calibri"/>
        </w:rPr>
        <w:t xml:space="preserve"> en el eje de la incapacitación parcial,</w:t>
      </w:r>
      <w:r w:rsidR="004507D5" w:rsidRPr="00EE25D1">
        <w:rPr>
          <w:rFonts w:ascii="Calibri" w:hAnsi="Calibri"/>
        </w:rPr>
        <w:t xml:space="preserve"> ahora no es posible dicha denominación</w:t>
      </w:r>
      <w:r w:rsidR="00067B3E" w:rsidRPr="00EE25D1">
        <w:rPr>
          <w:rStyle w:val="Refdenotaalpie"/>
          <w:rFonts w:ascii="Calibri" w:hAnsi="Calibri"/>
        </w:rPr>
        <w:footnoteReference w:id="21"/>
      </w:r>
      <w:r w:rsidR="004507D5" w:rsidRPr="00EE25D1">
        <w:rPr>
          <w:rFonts w:ascii="Calibri" w:hAnsi="Calibri"/>
        </w:rPr>
        <w:t xml:space="preserve">, </w:t>
      </w:r>
      <w:r w:rsidR="00C71F23" w:rsidRPr="00EE25D1">
        <w:rPr>
          <w:rFonts w:ascii="Calibri" w:hAnsi="Calibri"/>
        </w:rPr>
        <w:t xml:space="preserve">en virtud del </w:t>
      </w:r>
      <w:r w:rsidR="0037190C" w:rsidRPr="00EE25D1">
        <w:rPr>
          <w:rFonts w:ascii="Calibri" w:hAnsi="Calibri"/>
        </w:rPr>
        <w:t>artículo</w:t>
      </w:r>
      <w:r w:rsidR="00C71F23" w:rsidRPr="00EE25D1">
        <w:rPr>
          <w:rFonts w:ascii="Calibri" w:hAnsi="Calibri"/>
        </w:rPr>
        <w:t xml:space="preserve"> 269 del Código Civil</w:t>
      </w:r>
      <w:r w:rsidR="00A3775A" w:rsidRPr="00EE25D1">
        <w:rPr>
          <w:rFonts w:ascii="Calibri" w:hAnsi="Calibri"/>
        </w:rPr>
        <w:t xml:space="preserve"> </w:t>
      </w:r>
      <w:r w:rsidR="00A3775A" w:rsidRPr="00EE25D1">
        <w:rPr>
          <w:rFonts w:ascii="Calibri" w:hAnsi="Calibri"/>
          <w:i/>
        </w:rPr>
        <w:t>in fine</w:t>
      </w:r>
      <w:r w:rsidR="00A3775A" w:rsidRPr="00EE25D1">
        <w:rPr>
          <w:rFonts w:ascii="Calibri" w:hAnsi="Calibri"/>
        </w:rPr>
        <w:t xml:space="preserve"> que </w:t>
      </w:r>
      <w:r w:rsidR="00DC7E5E" w:rsidRPr="00EE25D1">
        <w:rPr>
          <w:rFonts w:ascii="Calibri" w:hAnsi="Calibri"/>
        </w:rPr>
        <w:t xml:space="preserve">veta, en la provisión de apoyo </w:t>
      </w:r>
      <w:r w:rsidR="00A3775A" w:rsidRPr="00EE25D1">
        <w:rPr>
          <w:rFonts w:ascii="Calibri" w:hAnsi="Calibri"/>
        </w:rPr>
        <w:t xml:space="preserve">vía judicial, la privación de derechos. </w:t>
      </w:r>
    </w:p>
    <w:p w:rsidR="00A3775A" w:rsidRPr="00EE25D1" w:rsidRDefault="00A3775A" w:rsidP="00D44BF1">
      <w:pPr>
        <w:tabs>
          <w:tab w:val="left" w:pos="8505"/>
        </w:tabs>
        <w:spacing w:before="100" w:beforeAutospacing="1" w:after="100" w:afterAutospacing="1"/>
        <w:rPr>
          <w:rFonts w:ascii="Calibri" w:hAnsi="Calibri"/>
        </w:rPr>
      </w:pPr>
      <w:r w:rsidRPr="00EE25D1">
        <w:rPr>
          <w:rFonts w:ascii="Calibri" w:hAnsi="Calibri"/>
        </w:rPr>
        <w:t xml:space="preserve">Por ello, hemos de preguntarnos, </w:t>
      </w:r>
      <w:r w:rsidR="00815450" w:rsidRPr="00EE25D1">
        <w:rPr>
          <w:rFonts w:ascii="Calibri" w:hAnsi="Calibri"/>
        </w:rPr>
        <w:t>en consonancia con</w:t>
      </w:r>
      <w:r w:rsidRPr="00EE25D1">
        <w:rPr>
          <w:rFonts w:ascii="Calibri" w:hAnsi="Calibri"/>
        </w:rPr>
        <w:t xml:space="preserve"> el leitmotiv que vertebra este apartado, lo siguiente</w:t>
      </w:r>
      <w:r w:rsidR="00C56647" w:rsidRPr="00EE25D1">
        <w:rPr>
          <w:rFonts w:ascii="Calibri" w:hAnsi="Calibri"/>
        </w:rPr>
        <w:t>: ¿S</w:t>
      </w:r>
      <w:r w:rsidR="00A33EBD" w:rsidRPr="00EE25D1">
        <w:rPr>
          <w:rFonts w:ascii="Calibri" w:hAnsi="Calibri"/>
        </w:rPr>
        <w:t>e puede</w:t>
      </w:r>
      <w:r w:rsidR="00DC7E5E" w:rsidRPr="00EE25D1">
        <w:rPr>
          <w:rFonts w:ascii="Calibri" w:hAnsi="Calibri"/>
        </w:rPr>
        <w:t>n</w:t>
      </w:r>
      <w:r w:rsidR="00A33EBD" w:rsidRPr="00EE25D1">
        <w:rPr>
          <w:rFonts w:ascii="Calibri" w:hAnsi="Calibri"/>
        </w:rPr>
        <w:t xml:space="preserve"> conceptuar </w:t>
      </w:r>
      <w:r w:rsidR="000954C1" w:rsidRPr="00EE25D1">
        <w:rPr>
          <w:rFonts w:ascii="Calibri" w:hAnsi="Calibri"/>
        </w:rPr>
        <w:t>las medidas de apoyo</w:t>
      </w:r>
      <w:r w:rsidR="00A33EBD" w:rsidRPr="00EE25D1">
        <w:rPr>
          <w:rFonts w:ascii="Calibri" w:hAnsi="Calibri"/>
        </w:rPr>
        <w:t xml:space="preserve"> como </w:t>
      </w:r>
      <w:r w:rsidR="00CE677B" w:rsidRPr="00EE25D1">
        <w:rPr>
          <w:rFonts w:ascii="Calibri" w:hAnsi="Calibri"/>
        </w:rPr>
        <w:t>un</w:t>
      </w:r>
      <w:r w:rsidR="00A33EBD" w:rsidRPr="00EE25D1">
        <w:rPr>
          <w:rFonts w:ascii="Calibri" w:hAnsi="Calibri"/>
        </w:rPr>
        <w:t xml:space="preserve"> complemento de capacidad?</w:t>
      </w:r>
      <w:r w:rsidR="001B36A2" w:rsidRPr="00EE25D1">
        <w:rPr>
          <w:rFonts w:ascii="Calibri" w:hAnsi="Calibri"/>
        </w:rPr>
        <w:t xml:space="preserve"> O </w:t>
      </w:r>
      <w:r w:rsidR="00CE677B" w:rsidRPr="00EE25D1">
        <w:rPr>
          <w:rFonts w:ascii="Calibri" w:hAnsi="Calibri"/>
        </w:rPr>
        <w:t>formulado de otro modo ¿</w:t>
      </w:r>
      <w:r w:rsidR="000954C1" w:rsidRPr="00EE25D1">
        <w:rPr>
          <w:rFonts w:ascii="Calibri" w:hAnsi="Calibri"/>
        </w:rPr>
        <w:t xml:space="preserve">El apoyo complementa </w:t>
      </w:r>
      <w:r w:rsidR="00CE677B" w:rsidRPr="00EE25D1">
        <w:rPr>
          <w:rFonts w:ascii="Calibri" w:hAnsi="Calibri"/>
        </w:rPr>
        <w:t xml:space="preserve">la capacidad? </w:t>
      </w:r>
      <w:r w:rsidR="005E0E2F" w:rsidRPr="00EE25D1">
        <w:rPr>
          <w:rFonts w:ascii="Calibri" w:hAnsi="Calibri"/>
        </w:rPr>
        <w:t>Aunque haya autores que abogan por esta identificación</w:t>
      </w:r>
      <w:r w:rsidR="008568A2" w:rsidRPr="00EE25D1">
        <w:rPr>
          <w:rStyle w:val="Refdenotaalpie"/>
          <w:rFonts w:ascii="Calibri" w:hAnsi="Calibri"/>
        </w:rPr>
        <w:footnoteReference w:id="22"/>
      </w:r>
      <w:r w:rsidR="005E0E2F" w:rsidRPr="00EE25D1">
        <w:rPr>
          <w:rFonts w:ascii="Calibri" w:hAnsi="Calibri"/>
        </w:rPr>
        <w:t>, e</w:t>
      </w:r>
      <w:r w:rsidR="00CE677B" w:rsidRPr="00EE25D1">
        <w:rPr>
          <w:rFonts w:ascii="Calibri" w:hAnsi="Calibri"/>
        </w:rPr>
        <w:t>n nuestra opinión no, salvo que se quiera incurrir en una suerte de reduccionismo al abrigo de un manido juego de palabras (habrá quienes pensarán</w:t>
      </w:r>
      <w:r w:rsidR="00B36821" w:rsidRPr="00EE25D1">
        <w:rPr>
          <w:rFonts w:ascii="Calibri" w:hAnsi="Calibri"/>
        </w:rPr>
        <w:t xml:space="preserve">, por la </w:t>
      </w:r>
      <w:r w:rsidR="00C42A87" w:rsidRPr="00EE25D1">
        <w:rPr>
          <w:rFonts w:ascii="Calibri" w:hAnsi="Calibri"/>
        </w:rPr>
        <w:t>palabra</w:t>
      </w:r>
      <w:r w:rsidR="00B36821" w:rsidRPr="00EE25D1">
        <w:rPr>
          <w:rFonts w:ascii="Calibri" w:hAnsi="Calibri"/>
        </w:rPr>
        <w:t xml:space="preserve"> </w:t>
      </w:r>
      <w:r w:rsidR="00713CC7" w:rsidRPr="00EE25D1">
        <w:rPr>
          <w:rFonts w:ascii="Calibri" w:hAnsi="Calibri"/>
        </w:rPr>
        <w:t>“</w:t>
      </w:r>
      <w:r w:rsidR="00B36821" w:rsidRPr="00EE25D1">
        <w:rPr>
          <w:rFonts w:ascii="Calibri" w:hAnsi="Calibri"/>
        </w:rPr>
        <w:t>discapacidad</w:t>
      </w:r>
      <w:r w:rsidR="00713CC7" w:rsidRPr="00EE25D1">
        <w:rPr>
          <w:rFonts w:ascii="Calibri" w:hAnsi="Calibri"/>
        </w:rPr>
        <w:t>”</w:t>
      </w:r>
      <w:r w:rsidR="00B36821" w:rsidRPr="00EE25D1">
        <w:rPr>
          <w:rFonts w:ascii="Calibri" w:hAnsi="Calibri"/>
        </w:rPr>
        <w:t>,</w:t>
      </w:r>
      <w:r w:rsidR="00CE677B" w:rsidRPr="00EE25D1">
        <w:rPr>
          <w:rFonts w:ascii="Calibri" w:hAnsi="Calibri"/>
        </w:rPr>
        <w:t xml:space="preserve"> que</w:t>
      </w:r>
      <w:r w:rsidR="00E05307" w:rsidRPr="00EE25D1">
        <w:rPr>
          <w:rFonts w:ascii="Calibri" w:hAnsi="Calibri"/>
        </w:rPr>
        <w:t xml:space="preserve"> el prefijo </w:t>
      </w:r>
      <w:r w:rsidR="00713CC7" w:rsidRPr="00EE25D1">
        <w:rPr>
          <w:rFonts w:ascii="Calibri" w:hAnsi="Calibri"/>
        </w:rPr>
        <w:t>“</w:t>
      </w:r>
      <w:r w:rsidR="00E05307" w:rsidRPr="00EE25D1">
        <w:rPr>
          <w:rFonts w:ascii="Calibri" w:hAnsi="Calibri"/>
        </w:rPr>
        <w:t>dis</w:t>
      </w:r>
      <w:r w:rsidR="00713CC7" w:rsidRPr="00EE25D1">
        <w:rPr>
          <w:rFonts w:ascii="Calibri" w:hAnsi="Calibri"/>
        </w:rPr>
        <w:t>”</w:t>
      </w:r>
      <w:r w:rsidR="00E05307" w:rsidRPr="00EE25D1">
        <w:rPr>
          <w:rFonts w:ascii="Calibri" w:hAnsi="Calibri"/>
        </w:rPr>
        <w:t xml:space="preserve"> le despoja a las personas que la padecen, total o parcialmente,</w:t>
      </w:r>
      <w:r w:rsidR="00573A43" w:rsidRPr="00EE25D1">
        <w:rPr>
          <w:rFonts w:ascii="Calibri" w:hAnsi="Calibri"/>
        </w:rPr>
        <w:t xml:space="preserve"> de</w:t>
      </w:r>
      <w:r w:rsidR="00E05307" w:rsidRPr="00EE25D1">
        <w:rPr>
          <w:rFonts w:ascii="Calibri" w:hAnsi="Calibri"/>
        </w:rPr>
        <w:t xml:space="preserve"> </w:t>
      </w:r>
      <w:r w:rsidR="00CE677B" w:rsidRPr="00EE25D1">
        <w:rPr>
          <w:rFonts w:ascii="Calibri" w:hAnsi="Calibri"/>
        </w:rPr>
        <w:t xml:space="preserve">capacidad y, por ende, precisa </w:t>
      </w:r>
      <w:r w:rsidR="0000503E" w:rsidRPr="00EE25D1">
        <w:rPr>
          <w:rFonts w:ascii="Calibri" w:hAnsi="Calibri"/>
        </w:rPr>
        <w:t xml:space="preserve">de alguien que la complemente); </w:t>
      </w:r>
      <w:r w:rsidR="00DC7E5E" w:rsidRPr="00EE25D1">
        <w:rPr>
          <w:rFonts w:ascii="Calibri" w:hAnsi="Calibri"/>
        </w:rPr>
        <w:t>el apoyo, tal y como lo</w:t>
      </w:r>
      <w:r w:rsidR="0000503E" w:rsidRPr="00EE25D1">
        <w:rPr>
          <w:rFonts w:ascii="Calibri" w:hAnsi="Calibri"/>
        </w:rPr>
        <w:t xml:space="preserve"> ha configurado el legislador español partiendo de los principios de la </w:t>
      </w:r>
      <w:r w:rsidR="000649FD" w:rsidRPr="00EE25D1">
        <w:rPr>
          <w:rFonts w:ascii="Calibri" w:hAnsi="Calibri"/>
        </w:rPr>
        <w:t>CDPD, y con excepción de los que tienen una arquit</w:t>
      </w:r>
      <w:r w:rsidR="00932721" w:rsidRPr="00EE25D1">
        <w:rPr>
          <w:rFonts w:ascii="Calibri" w:hAnsi="Calibri"/>
        </w:rPr>
        <w:t>ectura representativa, adquiere</w:t>
      </w:r>
      <w:r w:rsidR="000649FD" w:rsidRPr="00EE25D1">
        <w:rPr>
          <w:rFonts w:ascii="Calibri" w:hAnsi="Calibri"/>
        </w:rPr>
        <w:t xml:space="preserve"> protagonismo en el proceso deliberativo</w:t>
      </w:r>
      <w:r w:rsidR="006D330D" w:rsidRPr="00EE25D1">
        <w:rPr>
          <w:rFonts w:ascii="Calibri" w:hAnsi="Calibri"/>
        </w:rPr>
        <w:t xml:space="preserve"> </w:t>
      </w:r>
      <w:r w:rsidR="00DC7E5E" w:rsidRPr="00EE25D1">
        <w:rPr>
          <w:rFonts w:ascii="Calibri" w:hAnsi="Calibri"/>
        </w:rPr>
        <w:t xml:space="preserve">de gestación </w:t>
      </w:r>
      <w:r w:rsidR="006D330D" w:rsidRPr="00EE25D1">
        <w:rPr>
          <w:rFonts w:ascii="Calibri" w:hAnsi="Calibri"/>
        </w:rPr>
        <w:t>del consentimiento</w:t>
      </w:r>
      <w:r w:rsidR="000649FD" w:rsidRPr="00EE25D1">
        <w:rPr>
          <w:rFonts w:ascii="Calibri" w:hAnsi="Calibri"/>
        </w:rPr>
        <w:t xml:space="preserve"> de las personas con discapacidad, es decir, en el pr</w:t>
      </w:r>
      <w:r w:rsidR="007C59ED" w:rsidRPr="00EE25D1">
        <w:rPr>
          <w:rFonts w:ascii="Calibri" w:hAnsi="Calibri"/>
        </w:rPr>
        <w:t>oceso interno de formación de una</w:t>
      </w:r>
      <w:r w:rsidR="000649FD" w:rsidRPr="00EE25D1">
        <w:rPr>
          <w:rFonts w:ascii="Calibri" w:hAnsi="Calibri"/>
        </w:rPr>
        <w:t xml:space="preserve"> voluntad consciente y libre, sin que el apoyo deba, ni pueda, intervenir en la</w:t>
      </w:r>
      <w:r w:rsidR="00117D3E" w:rsidRPr="00EE25D1">
        <w:rPr>
          <w:rFonts w:ascii="Calibri" w:hAnsi="Calibri"/>
        </w:rPr>
        <w:t xml:space="preserve"> fase de</w:t>
      </w:r>
      <w:r w:rsidR="000649FD" w:rsidRPr="00EE25D1">
        <w:rPr>
          <w:rFonts w:ascii="Calibri" w:hAnsi="Calibri"/>
        </w:rPr>
        <w:t xml:space="preserve"> perfección del negocio jurídico, pues de lo contrar</w:t>
      </w:r>
      <w:r w:rsidR="00DC7E5E" w:rsidRPr="00EE25D1">
        <w:rPr>
          <w:rFonts w:ascii="Calibri" w:hAnsi="Calibri"/>
        </w:rPr>
        <w:t>io la persona asistida de apoyo</w:t>
      </w:r>
      <w:r w:rsidR="000649FD" w:rsidRPr="00EE25D1">
        <w:rPr>
          <w:rFonts w:ascii="Calibri" w:hAnsi="Calibri"/>
        </w:rPr>
        <w:t>, lejos de actuar con independencia, autonomía y libertad, estaría encorsetada a la autorización</w:t>
      </w:r>
      <w:r w:rsidR="00117D3E" w:rsidRPr="00EE25D1">
        <w:rPr>
          <w:rFonts w:ascii="Calibri" w:hAnsi="Calibri"/>
        </w:rPr>
        <w:t xml:space="preserve"> de un tercero</w:t>
      </w:r>
      <w:r w:rsidR="000649FD" w:rsidRPr="00EE25D1">
        <w:rPr>
          <w:rFonts w:ascii="Calibri" w:hAnsi="Calibri"/>
        </w:rPr>
        <w:t>, en contra de los principios de la CDPD. Así, donde el otrora curador intervenía en el acto final</w:t>
      </w:r>
      <w:r w:rsidR="00DC7E5E" w:rsidRPr="00EE25D1">
        <w:rPr>
          <w:rFonts w:ascii="Calibri" w:hAnsi="Calibri"/>
        </w:rPr>
        <w:t xml:space="preserve"> mediante la asistencia o la autorización</w:t>
      </w:r>
      <w:r w:rsidR="000649FD" w:rsidRPr="00EE25D1">
        <w:rPr>
          <w:rFonts w:ascii="Calibri" w:hAnsi="Calibri"/>
        </w:rPr>
        <w:t>, el actual adquiere prota</w:t>
      </w:r>
      <w:r w:rsidR="00117D3E" w:rsidRPr="00EE25D1">
        <w:rPr>
          <w:rFonts w:ascii="Calibri" w:hAnsi="Calibri"/>
        </w:rPr>
        <w:t xml:space="preserve">gonismo en la </w:t>
      </w:r>
      <w:r w:rsidR="006D330D" w:rsidRPr="00EE25D1">
        <w:rPr>
          <w:rFonts w:ascii="Calibri" w:hAnsi="Calibri"/>
        </w:rPr>
        <w:t>travesía</w:t>
      </w:r>
      <w:r w:rsidR="00117D3E" w:rsidRPr="00EE25D1">
        <w:rPr>
          <w:rFonts w:ascii="Calibri" w:hAnsi="Calibri"/>
        </w:rPr>
        <w:t xml:space="preserve"> deliberativa, </w:t>
      </w:r>
      <w:r w:rsidR="000649FD" w:rsidRPr="00EE25D1">
        <w:rPr>
          <w:rFonts w:ascii="Calibri" w:hAnsi="Calibri"/>
        </w:rPr>
        <w:t>co</w:t>
      </w:r>
      <w:r w:rsidR="00117D3E" w:rsidRPr="00EE25D1">
        <w:rPr>
          <w:rFonts w:ascii="Calibri" w:hAnsi="Calibri"/>
        </w:rPr>
        <w:t>n el noble propósito de que la persona con discapacidad</w:t>
      </w:r>
      <w:r w:rsidR="000649FD" w:rsidRPr="00EE25D1">
        <w:rPr>
          <w:rFonts w:ascii="Calibri" w:hAnsi="Calibri"/>
        </w:rPr>
        <w:t xml:space="preserve"> exteriorice una voluntad personal, libre y responsable. </w:t>
      </w:r>
      <w:r w:rsidR="00117D3E" w:rsidRPr="00EE25D1">
        <w:rPr>
          <w:rFonts w:ascii="Calibri" w:hAnsi="Calibri"/>
        </w:rPr>
        <w:t xml:space="preserve">Si, llegado el caso, la persona con discapacidad no es capaz </w:t>
      </w:r>
      <w:r w:rsidR="006D330D" w:rsidRPr="00EE25D1">
        <w:rPr>
          <w:rFonts w:ascii="Calibri" w:hAnsi="Calibri"/>
        </w:rPr>
        <w:t>de construir una voluntad pese al apoyo</w:t>
      </w:r>
      <w:r w:rsidR="00117D3E" w:rsidRPr="00EE25D1">
        <w:rPr>
          <w:rFonts w:ascii="Calibri" w:hAnsi="Calibri"/>
        </w:rPr>
        <w:t xml:space="preserve">, es entonces cuando intervendrá el apoyo de corte representativo, teniendo vetada aquella la perfección de los actos o negocios </w:t>
      </w:r>
      <w:r w:rsidR="00117D3E" w:rsidRPr="00EE25D1">
        <w:rPr>
          <w:rFonts w:ascii="Calibri" w:hAnsi="Calibri"/>
          <w:i/>
        </w:rPr>
        <w:t>intuitu personae</w:t>
      </w:r>
      <w:r w:rsidR="003508B8" w:rsidRPr="00EE25D1">
        <w:rPr>
          <w:rStyle w:val="Refdenotaalpie"/>
          <w:rFonts w:ascii="Calibri" w:hAnsi="Calibri"/>
          <w:i/>
        </w:rPr>
        <w:footnoteReference w:id="23"/>
      </w:r>
      <w:r w:rsidR="00117D3E" w:rsidRPr="00EE25D1">
        <w:rPr>
          <w:rFonts w:ascii="Calibri" w:hAnsi="Calibri"/>
        </w:rPr>
        <w:t xml:space="preserve">. </w:t>
      </w:r>
    </w:p>
    <w:p w:rsidR="001B36A2" w:rsidRPr="00EE25D1" w:rsidRDefault="00C71F23" w:rsidP="00D44BF1">
      <w:pPr>
        <w:tabs>
          <w:tab w:val="left" w:pos="8505"/>
        </w:tabs>
        <w:spacing w:before="100" w:beforeAutospacing="1" w:after="100" w:afterAutospacing="1"/>
        <w:rPr>
          <w:rFonts w:ascii="Calibri" w:hAnsi="Calibri"/>
        </w:rPr>
      </w:pPr>
      <w:r w:rsidRPr="00EE25D1">
        <w:rPr>
          <w:rFonts w:ascii="Calibri" w:hAnsi="Calibri"/>
        </w:rPr>
        <w:t xml:space="preserve">Situándonos en el </w:t>
      </w:r>
      <w:r w:rsidR="0037190C" w:rsidRPr="00EE25D1">
        <w:rPr>
          <w:rFonts w:ascii="Calibri" w:hAnsi="Calibri"/>
        </w:rPr>
        <w:t xml:space="preserve">artículo </w:t>
      </w:r>
      <w:r w:rsidRPr="00EE25D1">
        <w:rPr>
          <w:rFonts w:ascii="Calibri" w:hAnsi="Calibri"/>
        </w:rPr>
        <w:t>56 del Código Civil</w:t>
      </w:r>
      <w:r w:rsidR="001B36A2" w:rsidRPr="00EE25D1">
        <w:rPr>
          <w:rFonts w:ascii="Calibri" w:hAnsi="Calibri"/>
        </w:rPr>
        <w:t xml:space="preserve"> </w:t>
      </w:r>
      <w:r w:rsidR="001B36A2" w:rsidRPr="00EE25D1">
        <w:rPr>
          <w:rFonts w:ascii="Calibri" w:hAnsi="Calibri"/>
          <w:i/>
        </w:rPr>
        <w:t>in fine</w:t>
      </w:r>
      <w:r w:rsidR="005E0E2F" w:rsidRPr="00EE25D1">
        <w:rPr>
          <w:rFonts w:ascii="Calibri" w:hAnsi="Calibri"/>
        </w:rPr>
        <w:t>,</w:t>
      </w:r>
      <w:r w:rsidR="00117D3E" w:rsidRPr="00EE25D1">
        <w:rPr>
          <w:rFonts w:ascii="Calibri" w:hAnsi="Calibri"/>
        </w:rPr>
        <w:t xml:space="preserve"> y reiterando lo anterior,</w:t>
      </w:r>
      <w:r w:rsidR="005E0E2F" w:rsidRPr="00EE25D1">
        <w:rPr>
          <w:rFonts w:ascii="Calibri" w:hAnsi="Calibri"/>
        </w:rPr>
        <w:t xml:space="preserve"> </w:t>
      </w:r>
      <w:r w:rsidR="001B36A2" w:rsidRPr="00EE25D1">
        <w:rPr>
          <w:rFonts w:ascii="Calibri" w:hAnsi="Calibri"/>
        </w:rPr>
        <w:t>el apoyo que se le dispensa al contrayente con discapacidad psíquica</w:t>
      </w:r>
      <w:r w:rsidR="003508B8" w:rsidRPr="00EE25D1">
        <w:rPr>
          <w:rFonts w:ascii="Calibri" w:hAnsi="Calibri"/>
        </w:rPr>
        <w:t xml:space="preserve"> o intelectual</w:t>
      </w:r>
      <w:r w:rsidR="00267B96" w:rsidRPr="00EE25D1">
        <w:rPr>
          <w:rFonts w:ascii="Calibri" w:hAnsi="Calibri"/>
        </w:rPr>
        <w:t xml:space="preserve"> no complementa su capacidad</w:t>
      </w:r>
      <w:r w:rsidR="00573A43" w:rsidRPr="00EE25D1">
        <w:rPr>
          <w:rFonts w:ascii="Calibri" w:hAnsi="Calibri"/>
        </w:rPr>
        <w:t>,</w:t>
      </w:r>
      <w:r w:rsidR="00267B96" w:rsidRPr="00EE25D1">
        <w:rPr>
          <w:rFonts w:ascii="Calibri" w:hAnsi="Calibri"/>
        </w:rPr>
        <w:t xml:space="preserve"> sino que dota </w:t>
      </w:r>
      <w:r w:rsidR="00DF0EC8" w:rsidRPr="00EE25D1">
        <w:rPr>
          <w:rFonts w:ascii="Calibri" w:hAnsi="Calibri"/>
        </w:rPr>
        <w:t>al mismo</w:t>
      </w:r>
      <w:r w:rsidR="00B0159C" w:rsidRPr="00EE25D1">
        <w:rPr>
          <w:rFonts w:ascii="Calibri" w:hAnsi="Calibri"/>
        </w:rPr>
        <w:t xml:space="preserve"> </w:t>
      </w:r>
      <w:r w:rsidR="00267B96" w:rsidRPr="00EE25D1">
        <w:rPr>
          <w:rFonts w:ascii="Calibri" w:hAnsi="Calibri"/>
        </w:rPr>
        <w:t>de las herramientas precisas para que pueda formar su propia voluntad, es decir, se</w:t>
      </w:r>
      <w:r w:rsidR="00DF0EC8" w:rsidRPr="00EE25D1">
        <w:rPr>
          <w:rFonts w:ascii="Calibri" w:hAnsi="Calibri"/>
        </w:rPr>
        <w:t xml:space="preserve"> le</w:t>
      </w:r>
      <w:r w:rsidR="00267B96" w:rsidRPr="00EE25D1">
        <w:rPr>
          <w:rFonts w:ascii="Calibri" w:hAnsi="Calibri"/>
        </w:rPr>
        <w:t xml:space="preserve"> auxilia o ayuda </w:t>
      </w:r>
      <w:r w:rsidR="00932721" w:rsidRPr="00EE25D1">
        <w:rPr>
          <w:rFonts w:ascii="Calibri" w:hAnsi="Calibri"/>
        </w:rPr>
        <w:t>a que</w:t>
      </w:r>
      <w:r w:rsidR="00267B96" w:rsidRPr="00EE25D1">
        <w:rPr>
          <w:rFonts w:ascii="Calibri" w:hAnsi="Calibri"/>
        </w:rPr>
        <w:t xml:space="preserve"> tome su propio proceso de toma de decisiones</w:t>
      </w:r>
      <w:r w:rsidR="00117D3E" w:rsidRPr="00EE25D1">
        <w:rPr>
          <w:rFonts w:ascii="Calibri" w:hAnsi="Calibri"/>
        </w:rPr>
        <w:t xml:space="preserve"> en orden al matrimonio. Si el</w:t>
      </w:r>
      <w:r w:rsidRPr="00EE25D1">
        <w:rPr>
          <w:rFonts w:ascii="Calibri" w:hAnsi="Calibri"/>
        </w:rPr>
        <w:t xml:space="preserve"> apoyo previsto en el </w:t>
      </w:r>
      <w:r w:rsidR="0037190C" w:rsidRPr="00EE25D1">
        <w:rPr>
          <w:rFonts w:ascii="Calibri" w:hAnsi="Calibri"/>
        </w:rPr>
        <w:t>artículo</w:t>
      </w:r>
      <w:r w:rsidRPr="00EE25D1">
        <w:rPr>
          <w:rFonts w:ascii="Calibri" w:hAnsi="Calibri"/>
        </w:rPr>
        <w:t xml:space="preserve"> 56 </w:t>
      </w:r>
      <w:r w:rsidR="00117D3E" w:rsidRPr="00EE25D1">
        <w:rPr>
          <w:rFonts w:ascii="Calibri" w:hAnsi="Calibri"/>
        </w:rPr>
        <w:t>se visualizara como un complemento de capacidad</w:t>
      </w:r>
      <w:r w:rsidR="00117D3E" w:rsidRPr="00EE25D1">
        <w:rPr>
          <w:rStyle w:val="Refdenotaalpie"/>
          <w:rFonts w:ascii="Calibri" w:hAnsi="Calibri"/>
        </w:rPr>
        <w:footnoteReference w:id="24"/>
      </w:r>
      <w:r w:rsidR="00117D3E" w:rsidRPr="00EE25D1">
        <w:rPr>
          <w:rFonts w:ascii="Calibri" w:hAnsi="Calibri"/>
        </w:rPr>
        <w:t>, el tercero que dispensa el apoyo tendría</w:t>
      </w:r>
      <w:r w:rsidR="006F0AA2" w:rsidRPr="00EE25D1">
        <w:rPr>
          <w:rFonts w:ascii="Calibri" w:hAnsi="Calibri"/>
        </w:rPr>
        <w:t xml:space="preserve"> que</w:t>
      </w:r>
      <w:r w:rsidR="00AD0D66" w:rsidRPr="00EE25D1">
        <w:rPr>
          <w:rFonts w:ascii="Calibri" w:hAnsi="Calibri"/>
        </w:rPr>
        <w:t xml:space="preserve"> </w:t>
      </w:r>
      <w:r w:rsidR="00203AC6" w:rsidRPr="00EE25D1">
        <w:rPr>
          <w:rFonts w:ascii="Calibri" w:hAnsi="Calibri"/>
        </w:rPr>
        <w:t>dar su aquiescencia a la persona con discapacidad</w:t>
      </w:r>
      <w:r w:rsidR="00AD0D66" w:rsidRPr="00EE25D1">
        <w:rPr>
          <w:rFonts w:ascii="Calibri" w:hAnsi="Calibri"/>
        </w:rPr>
        <w:t xml:space="preserve">, </w:t>
      </w:r>
      <w:r w:rsidR="00117D3E" w:rsidRPr="00EE25D1">
        <w:rPr>
          <w:rFonts w:ascii="Calibri" w:hAnsi="Calibri"/>
        </w:rPr>
        <w:t>toda vez que el complemento de capacidad es coetáneo a la perfección del negocio jurídico</w:t>
      </w:r>
      <w:r w:rsidR="00203AC6" w:rsidRPr="00EE25D1">
        <w:rPr>
          <w:rFonts w:ascii="Calibri" w:hAnsi="Calibri"/>
        </w:rPr>
        <w:t>, erigiéndose como presupuesto de validez del mismo</w:t>
      </w:r>
      <w:r w:rsidR="00117D3E" w:rsidRPr="00EE25D1">
        <w:rPr>
          <w:rFonts w:ascii="Calibri" w:hAnsi="Calibri"/>
        </w:rPr>
        <w:t xml:space="preserve">. </w:t>
      </w:r>
      <w:r w:rsidR="00815450" w:rsidRPr="00EE25D1">
        <w:rPr>
          <w:rFonts w:ascii="Calibri" w:hAnsi="Calibri"/>
        </w:rPr>
        <w:t xml:space="preserve">Pero como quiera que el apoyo opera </w:t>
      </w:r>
      <w:r w:rsidR="00815450" w:rsidRPr="00EE25D1">
        <w:rPr>
          <w:rFonts w:ascii="Calibri" w:hAnsi="Calibri"/>
          <w:i/>
        </w:rPr>
        <w:t>ex ante</w:t>
      </w:r>
      <w:r w:rsidR="00815450" w:rsidRPr="00EE25D1">
        <w:rPr>
          <w:rFonts w:ascii="Calibri" w:hAnsi="Calibri"/>
        </w:rPr>
        <w:t xml:space="preserve">, configurándose, mediante la ayuda y el consejo, como </w:t>
      </w:r>
      <w:r w:rsidR="003508B8" w:rsidRPr="00EE25D1">
        <w:rPr>
          <w:rFonts w:ascii="Calibri" w:hAnsi="Calibri"/>
        </w:rPr>
        <w:t xml:space="preserve">un </w:t>
      </w:r>
      <w:r w:rsidR="00815450" w:rsidRPr="00EE25D1">
        <w:rPr>
          <w:rFonts w:ascii="Calibri" w:hAnsi="Calibri"/>
        </w:rPr>
        <w:t xml:space="preserve">mecanismo </w:t>
      </w:r>
      <w:r w:rsidR="003508B8" w:rsidRPr="00EE25D1">
        <w:rPr>
          <w:rFonts w:ascii="Calibri" w:hAnsi="Calibri"/>
        </w:rPr>
        <w:t>que posibilita</w:t>
      </w:r>
      <w:r w:rsidR="00815450" w:rsidRPr="00EE25D1">
        <w:rPr>
          <w:rFonts w:ascii="Calibri" w:hAnsi="Calibri"/>
        </w:rPr>
        <w:t xml:space="preserve"> la autonomía y la libertad de la persona con discapacidad, </w:t>
      </w:r>
      <w:r w:rsidR="003508B8" w:rsidRPr="00EE25D1">
        <w:rPr>
          <w:rFonts w:ascii="Calibri" w:hAnsi="Calibri"/>
        </w:rPr>
        <w:t>será</w:t>
      </w:r>
      <w:r w:rsidR="006F0AA2" w:rsidRPr="00EE25D1">
        <w:rPr>
          <w:rFonts w:ascii="Calibri" w:hAnsi="Calibri"/>
        </w:rPr>
        <w:t xml:space="preserve"> esta</w:t>
      </w:r>
      <w:r w:rsidR="00815450" w:rsidRPr="00EE25D1">
        <w:rPr>
          <w:rFonts w:ascii="Calibri" w:hAnsi="Calibri"/>
        </w:rPr>
        <w:t>, única y exclusivamente, quien decidirá en el momento final si desea o no contraer matrimonio</w:t>
      </w:r>
      <w:r w:rsidR="00DF0EC8" w:rsidRPr="00EE25D1">
        <w:rPr>
          <w:rFonts w:ascii="Calibri" w:hAnsi="Calibri"/>
        </w:rPr>
        <w:t xml:space="preserve">. </w:t>
      </w:r>
    </w:p>
    <w:p w:rsidR="00320562" w:rsidRPr="00EE25D1" w:rsidRDefault="00320562" w:rsidP="00D44BF1">
      <w:pPr>
        <w:tabs>
          <w:tab w:val="left" w:pos="8505"/>
        </w:tabs>
        <w:spacing w:before="100" w:beforeAutospacing="1" w:after="100" w:afterAutospacing="1"/>
        <w:rPr>
          <w:rFonts w:ascii="Calibri" w:hAnsi="Calibri"/>
        </w:rPr>
      </w:pPr>
      <w:r w:rsidRPr="00EE25D1">
        <w:rPr>
          <w:rFonts w:ascii="Calibri" w:hAnsi="Calibri"/>
        </w:rPr>
        <w:t xml:space="preserve">Por ende, en ningún caso el apoyo desnaturaliza el carácter personalísimo del matrimonio, toda vez que el </w:t>
      </w:r>
      <w:r w:rsidRPr="00EE25D1">
        <w:rPr>
          <w:rFonts w:ascii="Calibri" w:hAnsi="Calibri"/>
          <w:i/>
        </w:rPr>
        <w:t>ius nubendi</w:t>
      </w:r>
      <w:r w:rsidRPr="00EE25D1">
        <w:rPr>
          <w:rFonts w:ascii="Calibri" w:hAnsi="Calibri"/>
        </w:rPr>
        <w:t xml:space="preserve"> lo ejerce, con total autonomía</w:t>
      </w:r>
      <w:r w:rsidR="003508B8" w:rsidRPr="00EE25D1">
        <w:rPr>
          <w:rFonts w:ascii="Calibri" w:hAnsi="Calibri"/>
        </w:rPr>
        <w:t xml:space="preserve"> e independencia</w:t>
      </w:r>
      <w:r w:rsidRPr="00EE25D1">
        <w:rPr>
          <w:rFonts w:ascii="Calibri" w:hAnsi="Calibri"/>
        </w:rPr>
        <w:t xml:space="preserve">, la persona con discapacidad, auxiliándose previamente </w:t>
      </w:r>
      <w:r w:rsidR="00203AC6" w:rsidRPr="00EE25D1">
        <w:rPr>
          <w:rFonts w:ascii="Calibri" w:hAnsi="Calibri"/>
        </w:rPr>
        <w:t>del apoyo</w:t>
      </w:r>
      <w:r w:rsidRPr="00EE25D1">
        <w:rPr>
          <w:rFonts w:ascii="Calibri" w:hAnsi="Calibri"/>
        </w:rPr>
        <w:t xml:space="preserve"> para </w:t>
      </w:r>
      <w:r w:rsidR="00BA0446" w:rsidRPr="00EE25D1">
        <w:rPr>
          <w:rFonts w:ascii="Calibri" w:hAnsi="Calibri"/>
        </w:rPr>
        <w:t>poder</w:t>
      </w:r>
      <w:r w:rsidRPr="00EE25D1">
        <w:rPr>
          <w:rFonts w:ascii="Calibri" w:hAnsi="Calibri"/>
        </w:rPr>
        <w:t xml:space="preserve"> comprender el alcance y los efectos del matrimonio, sin que sea exigible la concurrencia del apoyo en el acto </w:t>
      </w:r>
      <w:r w:rsidR="00573A43" w:rsidRPr="00EE25D1">
        <w:rPr>
          <w:rFonts w:ascii="Calibri" w:hAnsi="Calibri"/>
        </w:rPr>
        <w:t>de celebración</w:t>
      </w:r>
      <w:r w:rsidR="00DD0132" w:rsidRPr="00EE25D1">
        <w:rPr>
          <w:rFonts w:ascii="Calibri" w:hAnsi="Calibri"/>
        </w:rPr>
        <w:t>, ya que</w:t>
      </w:r>
      <w:r w:rsidRPr="00EE25D1">
        <w:rPr>
          <w:rFonts w:ascii="Calibri" w:hAnsi="Calibri"/>
        </w:rPr>
        <w:t xml:space="preserve"> de que el contrayente, si posee suficiente capacidad, habrá formado su voluntad </w:t>
      </w:r>
      <w:r w:rsidR="00573A43" w:rsidRPr="00EE25D1">
        <w:rPr>
          <w:rFonts w:ascii="Calibri" w:hAnsi="Calibri"/>
        </w:rPr>
        <w:t>previamente,</w:t>
      </w:r>
      <w:r w:rsidRPr="00EE25D1">
        <w:rPr>
          <w:rFonts w:ascii="Calibri" w:hAnsi="Calibri"/>
        </w:rPr>
        <w:t xml:space="preserve"> para </w:t>
      </w:r>
      <w:r w:rsidR="00BA0446" w:rsidRPr="00EE25D1">
        <w:rPr>
          <w:rFonts w:ascii="Calibri" w:hAnsi="Calibri"/>
        </w:rPr>
        <w:t xml:space="preserve">luego </w:t>
      </w:r>
      <w:r w:rsidRPr="00EE25D1">
        <w:rPr>
          <w:rFonts w:ascii="Calibri" w:hAnsi="Calibri"/>
        </w:rPr>
        <w:t>exteriorizarla</w:t>
      </w:r>
      <w:r w:rsidR="003508B8" w:rsidRPr="00EE25D1">
        <w:rPr>
          <w:rStyle w:val="Refdenotaalpie"/>
          <w:rFonts w:ascii="Calibri" w:hAnsi="Calibri"/>
        </w:rPr>
        <w:footnoteReference w:id="25"/>
      </w:r>
      <w:r w:rsidRPr="00EE25D1">
        <w:rPr>
          <w:rFonts w:ascii="Calibri" w:hAnsi="Calibri"/>
        </w:rPr>
        <w:t xml:space="preserve">. </w:t>
      </w:r>
    </w:p>
    <w:p w:rsidR="001432AB" w:rsidRPr="00EE25D1" w:rsidRDefault="00C02EF1" w:rsidP="00D44BF1">
      <w:pPr>
        <w:tabs>
          <w:tab w:val="left" w:pos="8505"/>
        </w:tabs>
        <w:spacing w:before="100" w:beforeAutospacing="1" w:after="100" w:afterAutospacing="1"/>
        <w:rPr>
          <w:rFonts w:ascii="Calibri" w:hAnsi="Calibri"/>
          <w:b/>
          <w:i/>
          <w:color w:val="000000" w:themeColor="text1"/>
          <w:shd w:val="clear" w:color="auto" w:fill="FFFFFF"/>
        </w:rPr>
      </w:pPr>
      <w:r w:rsidRPr="00EE25D1">
        <w:rPr>
          <w:rFonts w:ascii="Calibri" w:hAnsi="Calibri"/>
          <w:b/>
          <w:i/>
          <w:color w:val="000000" w:themeColor="text1"/>
          <w:shd w:val="clear" w:color="auto" w:fill="FFFFFF"/>
        </w:rPr>
        <w:t>2.</w:t>
      </w:r>
      <w:r w:rsidR="00991D92" w:rsidRPr="00EE25D1">
        <w:rPr>
          <w:rFonts w:ascii="Calibri" w:hAnsi="Calibri"/>
          <w:b/>
          <w:i/>
          <w:color w:val="000000" w:themeColor="text1"/>
          <w:shd w:val="clear" w:color="auto" w:fill="FFFFFF"/>
        </w:rPr>
        <w:t>4</w:t>
      </w:r>
      <w:r w:rsidR="00F163F1" w:rsidRPr="00EE25D1">
        <w:rPr>
          <w:rFonts w:ascii="Calibri" w:hAnsi="Calibri"/>
          <w:b/>
          <w:i/>
          <w:color w:val="000000" w:themeColor="text1"/>
          <w:shd w:val="clear" w:color="auto" w:fill="FFFFFF"/>
        </w:rPr>
        <w:t xml:space="preserve">. </w:t>
      </w:r>
      <w:r w:rsidR="00E759E6" w:rsidRPr="00EE25D1">
        <w:rPr>
          <w:rFonts w:ascii="Calibri" w:hAnsi="Calibri"/>
          <w:b/>
          <w:i/>
          <w:color w:val="000000" w:themeColor="text1"/>
          <w:shd w:val="clear" w:color="auto" w:fill="FFFFFF"/>
        </w:rPr>
        <w:t>La provisión de apoyo</w:t>
      </w:r>
      <w:r w:rsidR="003767E4" w:rsidRPr="00EE25D1">
        <w:rPr>
          <w:rFonts w:ascii="Calibri" w:hAnsi="Calibri"/>
          <w:b/>
          <w:i/>
          <w:color w:val="000000" w:themeColor="text1"/>
          <w:shd w:val="clear" w:color="auto" w:fill="FFFFFF"/>
        </w:rPr>
        <w:t xml:space="preserve"> en el expediente matrimonial</w:t>
      </w:r>
      <w:r w:rsidR="001432AB" w:rsidRPr="00EE25D1">
        <w:rPr>
          <w:rFonts w:ascii="Calibri" w:hAnsi="Calibri"/>
          <w:b/>
          <w:i/>
          <w:color w:val="000000" w:themeColor="text1"/>
          <w:shd w:val="clear" w:color="auto" w:fill="FFFFFF"/>
        </w:rPr>
        <w:t xml:space="preserve">  </w:t>
      </w:r>
    </w:p>
    <w:p w:rsidR="007C59ED" w:rsidRPr="00EE25D1" w:rsidRDefault="007C59ED"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Como hemos expuesto </w:t>
      </w:r>
      <w:r w:rsidRPr="00EE25D1">
        <w:rPr>
          <w:rFonts w:ascii="Calibri" w:hAnsi="Calibri"/>
          <w:i/>
          <w:color w:val="000000" w:themeColor="text1"/>
          <w:shd w:val="clear" w:color="auto" w:fill="FFFFFF"/>
        </w:rPr>
        <w:t>supra</w:t>
      </w:r>
      <w:r w:rsidRPr="00EE25D1">
        <w:rPr>
          <w:rFonts w:ascii="Calibri" w:hAnsi="Calibri"/>
          <w:color w:val="000000" w:themeColor="text1"/>
          <w:shd w:val="clear" w:color="auto" w:fill="FFFFFF"/>
        </w:rPr>
        <w:t>,</w:t>
      </w:r>
      <w:r w:rsidR="00573655" w:rsidRPr="00EE25D1">
        <w:rPr>
          <w:rFonts w:ascii="Calibri" w:hAnsi="Calibri"/>
          <w:color w:val="000000" w:themeColor="text1"/>
          <w:shd w:val="clear" w:color="auto" w:fill="FFFFFF"/>
        </w:rPr>
        <w:t xml:space="preserve"> una adecuada exégesis de</w:t>
      </w:r>
      <w:r w:rsidR="00C71F23" w:rsidRPr="00EE25D1">
        <w:rPr>
          <w:rFonts w:ascii="Calibri" w:hAnsi="Calibri"/>
          <w:color w:val="000000" w:themeColor="text1"/>
          <w:shd w:val="clear" w:color="auto" w:fill="FFFFFF"/>
        </w:rPr>
        <w:t xml:space="preserve">l segundo párrafo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573655" w:rsidRPr="00EE25D1">
        <w:rPr>
          <w:rFonts w:ascii="Calibri" w:hAnsi="Calibri"/>
          <w:color w:val="000000" w:themeColor="text1"/>
          <w:shd w:val="clear" w:color="auto" w:fill="FFFFFF"/>
        </w:rPr>
        <w:t xml:space="preserve"> conlleva que si el contrayente tiene una discapacidad psíquica, mental o intelectual, la autoridad o funcionario que tramite el expediente deberá co</w:t>
      </w:r>
      <w:r w:rsidR="00203AC6" w:rsidRPr="00EE25D1">
        <w:rPr>
          <w:rFonts w:ascii="Calibri" w:hAnsi="Calibri"/>
          <w:color w:val="000000" w:themeColor="text1"/>
          <w:shd w:val="clear" w:color="auto" w:fill="FFFFFF"/>
        </w:rPr>
        <w:t>mprobar personalmente si aquel</w:t>
      </w:r>
      <w:r w:rsidR="00573655" w:rsidRPr="00EE25D1">
        <w:rPr>
          <w:rFonts w:ascii="Calibri" w:hAnsi="Calibri"/>
          <w:color w:val="000000" w:themeColor="text1"/>
          <w:shd w:val="clear" w:color="auto" w:fill="FFFFFF"/>
        </w:rPr>
        <w:t xml:space="preserve"> tiene las suficientes facultades cognitivas para prestar el consentimiento matrimonial y, solo en el supuesto de que se demuestre, de modo evidente, categórico y sustancial, que no puede prestarlo, pese </w:t>
      </w:r>
      <w:r w:rsidR="00203AC6" w:rsidRPr="00EE25D1">
        <w:rPr>
          <w:rFonts w:ascii="Calibri" w:hAnsi="Calibri"/>
          <w:color w:val="000000" w:themeColor="text1"/>
          <w:shd w:val="clear" w:color="auto" w:fill="FFFFFF"/>
        </w:rPr>
        <w:t xml:space="preserve">a las medidas de apoyo, </w:t>
      </w:r>
      <w:r w:rsidR="00573655" w:rsidRPr="00EE25D1">
        <w:rPr>
          <w:rFonts w:ascii="Calibri" w:hAnsi="Calibri"/>
          <w:color w:val="000000" w:themeColor="text1"/>
          <w:shd w:val="clear" w:color="auto" w:fill="FFFFFF"/>
        </w:rPr>
        <w:t xml:space="preserve">se recabará dictamen médico. A pesar de concebir el legislador la exigencia del dictamen médico como la </w:t>
      </w:r>
      <w:r w:rsidR="00573655" w:rsidRPr="00EE25D1">
        <w:rPr>
          <w:rFonts w:ascii="Calibri" w:hAnsi="Calibri"/>
          <w:i/>
          <w:color w:val="000000" w:themeColor="text1"/>
          <w:shd w:val="clear" w:color="auto" w:fill="FFFFFF"/>
        </w:rPr>
        <w:t>última ratio</w:t>
      </w:r>
      <w:r w:rsidR="00573655" w:rsidRPr="00EE25D1">
        <w:rPr>
          <w:rFonts w:ascii="Calibri" w:hAnsi="Calibri"/>
          <w:color w:val="000000" w:themeColor="text1"/>
          <w:shd w:val="clear" w:color="auto" w:fill="FFFFFF"/>
        </w:rPr>
        <w:t xml:space="preserve">, </w:t>
      </w:r>
      <w:r w:rsidR="006A1984" w:rsidRPr="00EE25D1">
        <w:rPr>
          <w:rFonts w:ascii="Calibri" w:hAnsi="Calibri"/>
          <w:color w:val="000000" w:themeColor="text1"/>
          <w:shd w:val="clear" w:color="auto" w:fill="FFFFFF"/>
        </w:rPr>
        <w:t xml:space="preserve">toda vez que el encargado del expediente deberá comprobar, </w:t>
      </w:r>
      <w:r w:rsidR="006A1984" w:rsidRPr="00EE25D1">
        <w:rPr>
          <w:rFonts w:ascii="Calibri" w:hAnsi="Calibri"/>
          <w:i/>
          <w:color w:val="000000" w:themeColor="text1"/>
          <w:shd w:val="clear" w:color="auto" w:fill="FFFFFF"/>
        </w:rPr>
        <w:t>ex ante</w:t>
      </w:r>
      <w:r w:rsidR="006A1984" w:rsidRPr="00EE25D1">
        <w:rPr>
          <w:rFonts w:ascii="Calibri" w:hAnsi="Calibri"/>
          <w:color w:val="000000" w:themeColor="text1"/>
          <w:shd w:val="clear" w:color="auto" w:fill="FFFFFF"/>
        </w:rPr>
        <w:t xml:space="preserve">, su aptitud para prestar el consentimiento, la Instrucción de 3 de junio de 2021, de la Dirección General de Seguridad Jurídica y Fe Pública, sobre la tramitación del procedimiento de autorización de matrimonio ante notario, exige que el promotor aporte al inicio del procedimiento un informe sobre su aptitud realizado por el médico de cabecera o médico especialista, donde se haga constar </w:t>
      </w:r>
      <w:r w:rsidR="00203AC6" w:rsidRPr="00EE25D1">
        <w:rPr>
          <w:rFonts w:ascii="Calibri" w:hAnsi="Calibri"/>
          <w:color w:val="000000" w:themeColor="text1"/>
          <w:shd w:val="clear" w:color="auto" w:fill="FFFFFF"/>
        </w:rPr>
        <w:t xml:space="preserve">si tiene las facultades necesarias </w:t>
      </w:r>
      <w:r w:rsidR="006A1984" w:rsidRPr="00EE25D1">
        <w:rPr>
          <w:rFonts w:ascii="Calibri" w:hAnsi="Calibri"/>
          <w:color w:val="000000" w:themeColor="text1"/>
          <w:shd w:val="clear" w:color="auto" w:fill="FFFFFF"/>
        </w:rPr>
        <w:t>para prestar el consentimiento matrimonial</w:t>
      </w:r>
      <w:r w:rsidR="006A1984" w:rsidRPr="00EE25D1">
        <w:rPr>
          <w:rStyle w:val="Refdenotaalpie"/>
          <w:rFonts w:ascii="Calibri" w:hAnsi="Calibri"/>
          <w:color w:val="000000" w:themeColor="text1"/>
          <w:shd w:val="clear" w:color="auto" w:fill="FFFFFF"/>
        </w:rPr>
        <w:footnoteReference w:id="26"/>
      </w:r>
      <w:r w:rsidR="00C71F23" w:rsidRPr="00EE25D1">
        <w:rPr>
          <w:rFonts w:ascii="Calibri" w:hAnsi="Calibri"/>
          <w:color w:val="000000" w:themeColor="text1"/>
          <w:shd w:val="clear" w:color="auto" w:fill="FFFFFF"/>
        </w:rPr>
        <w:t xml:space="preserve">. Si hilvanamos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6A1984" w:rsidRPr="00EE25D1">
        <w:rPr>
          <w:rFonts w:ascii="Calibri" w:hAnsi="Calibri"/>
          <w:color w:val="000000" w:themeColor="text1"/>
          <w:shd w:val="clear" w:color="auto" w:fill="FFFFFF"/>
        </w:rPr>
        <w:t xml:space="preserve"> con la citada Instrucción, podemos concluir que esta última se aparta, drásticamente, del principio </w:t>
      </w:r>
      <w:r w:rsidR="006A1984" w:rsidRPr="00EE25D1">
        <w:rPr>
          <w:rFonts w:ascii="Calibri" w:hAnsi="Calibri"/>
          <w:i/>
          <w:color w:val="000000" w:themeColor="text1"/>
          <w:shd w:val="clear" w:color="auto" w:fill="FFFFFF"/>
        </w:rPr>
        <w:t>pro capacítate</w:t>
      </w:r>
      <w:r w:rsidR="006A1984" w:rsidRPr="00EE25D1">
        <w:rPr>
          <w:rFonts w:ascii="Calibri" w:hAnsi="Calibri"/>
          <w:color w:val="000000" w:themeColor="text1"/>
          <w:shd w:val="clear" w:color="auto" w:fill="FFFFFF"/>
        </w:rPr>
        <w:t xml:space="preserve"> y de los postulados de la CDPD</w:t>
      </w:r>
      <w:r w:rsidR="006A1984" w:rsidRPr="00EE25D1">
        <w:rPr>
          <w:rStyle w:val="Refdenotaalpie"/>
          <w:rFonts w:ascii="Calibri" w:hAnsi="Calibri"/>
          <w:color w:val="000000" w:themeColor="text1"/>
          <w:shd w:val="clear" w:color="auto" w:fill="FFFFFF"/>
        </w:rPr>
        <w:footnoteReference w:id="27"/>
      </w:r>
      <w:r w:rsidR="006A1984" w:rsidRPr="00EE25D1">
        <w:rPr>
          <w:rFonts w:ascii="Calibri" w:hAnsi="Calibri"/>
          <w:color w:val="000000" w:themeColor="text1"/>
          <w:shd w:val="clear" w:color="auto" w:fill="FFFFFF"/>
        </w:rPr>
        <w:t xml:space="preserve">, al albergar de manera implícita una presunción de que las personas con discapacidad no poseen la necesaria aptitud para prestar el consentimiento matrimonial. </w:t>
      </w:r>
    </w:p>
    <w:p w:rsidR="00ED029F" w:rsidRPr="00EE25D1" w:rsidRDefault="00C02EF1" w:rsidP="00D44BF1">
      <w:pPr>
        <w:tabs>
          <w:tab w:val="left" w:pos="8505"/>
        </w:tabs>
        <w:spacing w:before="100" w:beforeAutospacing="1" w:after="100" w:afterAutospacing="1"/>
        <w:rPr>
          <w:rFonts w:ascii="Calibri" w:hAnsi="Calibri"/>
          <w:b/>
          <w:color w:val="000000"/>
          <w:shd w:val="clear" w:color="auto" w:fill="FFFFFF"/>
        </w:rPr>
      </w:pPr>
      <w:r w:rsidRPr="00EE25D1">
        <w:rPr>
          <w:rFonts w:ascii="Calibri" w:hAnsi="Calibri"/>
          <w:b/>
          <w:color w:val="000000"/>
          <w:shd w:val="clear" w:color="auto" w:fill="FFFFFF"/>
        </w:rPr>
        <w:t>2.4.1.</w:t>
      </w:r>
      <w:r w:rsidR="00ED029F" w:rsidRPr="00EE25D1">
        <w:rPr>
          <w:rFonts w:ascii="Calibri" w:hAnsi="Calibri"/>
          <w:b/>
          <w:color w:val="000000"/>
          <w:shd w:val="clear" w:color="auto" w:fill="FFFFFF"/>
        </w:rPr>
        <w:t xml:space="preserve"> Finalidad </w:t>
      </w:r>
      <w:r w:rsidR="00E759E6" w:rsidRPr="00EE25D1">
        <w:rPr>
          <w:rFonts w:ascii="Calibri" w:hAnsi="Calibri"/>
          <w:b/>
          <w:color w:val="000000"/>
          <w:shd w:val="clear" w:color="auto" w:fill="FFFFFF"/>
        </w:rPr>
        <w:t>del apoyo</w:t>
      </w:r>
      <w:r w:rsidR="00ED029F" w:rsidRPr="00EE25D1">
        <w:rPr>
          <w:rFonts w:ascii="Calibri" w:hAnsi="Calibri"/>
          <w:b/>
          <w:color w:val="000000"/>
          <w:shd w:val="clear" w:color="auto" w:fill="FFFFFF"/>
        </w:rPr>
        <w:t xml:space="preserve"> </w:t>
      </w:r>
    </w:p>
    <w:p w:rsidR="00571792" w:rsidRPr="00EE25D1" w:rsidRDefault="00571792"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Omitiendo la meritada Instrucción, cabe plantearse la funcionalidad de </w:t>
      </w:r>
      <w:r w:rsidR="006D330D" w:rsidRPr="00EE25D1">
        <w:rPr>
          <w:rFonts w:ascii="Calibri" w:hAnsi="Calibri"/>
          <w:color w:val="000000" w:themeColor="text1"/>
          <w:shd w:val="clear" w:color="auto" w:fill="FFFFFF"/>
        </w:rPr>
        <w:t>las medidas de apoyo</w:t>
      </w:r>
      <w:r w:rsidRPr="00EE25D1">
        <w:rPr>
          <w:rFonts w:ascii="Calibri" w:hAnsi="Calibri"/>
          <w:color w:val="000000" w:themeColor="text1"/>
          <w:shd w:val="clear" w:color="auto" w:fill="FFFFFF"/>
        </w:rPr>
        <w:t xml:space="preserve"> o, mejor dicho, su objetivo. Cualquier jurista co</w:t>
      </w:r>
      <w:r w:rsidR="006D330D" w:rsidRPr="00EE25D1">
        <w:rPr>
          <w:rFonts w:ascii="Calibri" w:hAnsi="Calibri"/>
          <w:color w:val="000000" w:themeColor="text1"/>
          <w:shd w:val="clear" w:color="auto" w:fill="FFFFFF"/>
        </w:rPr>
        <w:t>ntestaría, a vuela pluma, que las medidas de apoyo</w:t>
      </w:r>
      <w:r w:rsidRPr="00EE25D1">
        <w:rPr>
          <w:rFonts w:ascii="Calibri" w:hAnsi="Calibri"/>
          <w:color w:val="000000" w:themeColor="text1"/>
          <w:shd w:val="clear" w:color="auto" w:fill="FFFFFF"/>
        </w:rPr>
        <w:t xml:space="preserve"> pretenden que la persona con discapacidad pueda comprender e</w:t>
      </w:r>
      <w:r w:rsidR="00E77F06" w:rsidRPr="00EE25D1">
        <w:rPr>
          <w:rFonts w:ascii="Calibri" w:hAnsi="Calibri"/>
          <w:color w:val="000000" w:themeColor="text1"/>
          <w:shd w:val="clear" w:color="auto" w:fill="FFFFFF"/>
        </w:rPr>
        <w:t>l</w:t>
      </w:r>
      <w:r w:rsidRPr="00EE25D1">
        <w:rPr>
          <w:rFonts w:ascii="Calibri" w:hAnsi="Calibri"/>
          <w:color w:val="000000" w:themeColor="text1"/>
          <w:shd w:val="clear" w:color="auto" w:fill="FFFFFF"/>
        </w:rPr>
        <w:t xml:space="preserve"> negocio matrimonial y sus efectos, es decir, como irradiaría</w:t>
      </w:r>
      <w:r w:rsidR="00E77F06"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en su patrimonio jurídico y personal</w:t>
      </w:r>
      <w:r w:rsidR="00E77F06" w:rsidRPr="00EE25D1">
        <w:rPr>
          <w:rFonts w:ascii="Calibri" w:hAnsi="Calibri"/>
          <w:color w:val="000000" w:themeColor="text1"/>
          <w:shd w:val="clear" w:color="auto" w:fill="FFFFFF"/>
        </w:rPr>
        <w:t xml:space="preserve"> el matrimonio</w:t>
      </w:r>
      <w:r w:rsidRPr="00EE25D1">
        <w:rPr>
          <w:rFonts w:ascii="Calibri" w:hAnsi="Calibri"/>
          <w:color w:val="000000" w:themeColor="text1"/>
          <w:shd w:val="clear" w:color="auto" w:fill="FFFFFF"/>
        </w:rPr>
        <w:t xml:space="preserve">. Dicha comprensión no significa, por ejemplo, que el contrayente conozca, con exhaustividad y en sentido técnico, los efectos personales y patrimoniales del matrimonio, sino que pueda hacerse una noción en la esfera del profano. </w:t>
      </w:r>
      <w:r w:rsidR="00310684" w:rsidRPr="00EE25D1">
        <w:rPr>
          <w:rFonts w:ascii="Calibri" w:hAnsi="Calibri"/>
          <w:color w:val="000000" w:themeColor="text1"/>
          <w:shd w:val="clear" w:color="auto" w:fill="FFFFFF"/>
        </w:rPr>
        <w:t xml:space="preserve">No obstante, late la incógnita </w:t>
      </w:r>
      <w:r w:rsidR="00932721" w:rsidRPr="00EE25D1">
        <w:rPr>
          <w:rFonts w:ascii="Calibri" w:hAnsi="Calibri"/>
          <w:color w:val="000000" w:themeColor="text1"/>
          <w:shd w:val="clear" w:color="auto" w:fill="FFFFFF"/>
        </w:rPr>
        <w:t xml:space="preserve">de </w:t>
      </w:r>
      <w:r w:rsidR="00310684" w:rsidRPr="00EE25D1">
        <w:rPr>
          <w:rFonts w:ascii="Calibri" w:hAnsi="Calibri"/>
          <w:color w:val="000000" w:themeColor="text1"/>
          <w:shd w:val="clear" w:color="auto" w:fill="FFFFFF"/>
        </w:rPr>
        <w:t xml:space="preserve">si </w:t>
      </w:r>
      <w:r w:rsidR="006D330D" w:rsidRPr="00EE25D1">
        <w:rPr>
          <w:rFonts w:ascii="Calibri" w:hAnsi="Calibri"/>
          <w:color w:val="000000" w:themeColor="text1"/>
          <w:shd w:val="clear" w:color="auto" w:fill="FFFFFF"/>
        </w:rPr>
        <w:t>el apoyo</w:t>
      </w:r>
      <w:r w:rsidR="004B514D" w:rsidRPr="00EE25D1">
        <w:rPr>
          <w:rFonts w:ascii="Calibri" w:hAnsi="Calibri"/>
          <w:color w:val="000000" w:themeColor="text1"/>
          <w:shd w:val="clear" w:color="auto" w:fill="FFFFFF"/>
        </w:rPr>
        <w:t xml:space="preserve"> puede</w:t>
      </w:r>
      <w:r w:rsidR="00310684" w:rsidRPr="00EE25D1">
        <w:rPr>
          <w:rFonts w:ascii="Calibri" w:hAnsi="Calibri"/>
          <w:color w:val="000000" w:themeColor="text1"/>
          <w:shd w:val="clear" w:color="auto" w:fill="FFFFFF"/>
        </w:rPr>
        <w:t xml:space="preserve"> auxiliar al contrayente a efectos de librarlo </w:t>
      </w:r>
      <w:r w:rsidR="00203AC6" w:rsidRPr="00EE25D1">
        <w:rPr>
          <w:rFonts w:ascii="Calibri" w:hAnsi="Calibri"/>
          <w:color w:val="000000" w:themeColor="text1"/>
          <w:shd w:val="clear" w:color="auto" w:fill="FFFFFF"/>
        </w:rPr>
        <w:t>de otras causas de nulidad relacionadas con el consentimiento matrimonial como la reserva mental</w:t>
      </w:r>
      <w:r w:rsidR="00310684" w:rsidRPr="00EE25D1">
        <w:rPr>
          <w:rFonts w:ascii="Calibri" w:hAnsi="Calibri"/>
          <w:color w:val="000000" w:themeColor="text1"/>
          <w:shd w:val="clear" w:color="auto" w:fill="FFFFFF"/>
        </w:rPr>
        <w:t>. Debe tenerse en cuenta que ello im</w:t>
      </w:r>
      <w:r w:rsidR="006D330D" w:rsidRPr="00EE25D1">
        <w:rPr>
          <w:rFonts w:ascii="Calibri" w:hAnsi="Calibri"/>
          <w:color w:val="000000" w:themeColor="text1"/>
          <w:shd w:val="clear" w:color="auto" w:fill="FFFFFF"/>
        </w:rPr>
        <w:t>plicaría, a fin de descartar hip</w:t>
      </w:r>
      <w:r w:rsidR="004B514D" w:rsidRPr="00EE25D1">
        <w:rPr>
          <w:rFonts w:ascii="Calibri" w:hAnsi="Calibri"/>
          <w:color w:val="000000" w:themeColor="text1"/>
          <w:shd w:val="clear" w:color="auto" w:fill="FFFFFF"/>
        </w:rPr>
        <w:t xml:space="preserve">ótesis como </w:t>
      </w:r>
      <w:r w:rsidR="00310684" w:rsidRPr="00EE25D1">
        <w:rPr>
          <w:rFonts w:ascii="Calibri" w:hAnsi="Calibri"/>
          <w:color w:val="000000" w:themeColor="text1"/>
          <w:shd w:val="clear" w:color="auto" w:fill="FFFFFF"/>
        </w:rPr>
        <w:t xml:space="preserve">reserva mental, un juicio valorativo en relación con el otro contrayente, y ello podría poner en cuarentena el carácter </w:t>
      </w:r>
      <w:r w:rsidR="00310684" w:rsidRPr="00EE25D1">
        <w:rPr>
          <w:rFonts w:ascii="Calibri" w:hAnsi="Calibri"/>
          <w:i/>
          <w:color w:val="000000" w:themeColor="text1"/>
          <w:shd w:val="clear" w:color="auto" w:fill="FFFFFF"/>
        </w:rPr>
        <w:t>intuitu personae</w:t>
      </w:r>
      <w:r w:rsidR="00310684" w:rsidRPr="00EE25D1">
        <w:rPr>
          <w:rFonts w:ascii="Calibri" w:hAnsi="Calibri"/>
          <w:color w:val="000000" w:themeColor="text1"/>
          <w:shd w:val="clear" w:color="auto" w:fill="FFFFFF"/>
        </w:rPr>
        <w:t xml:space="preserve"> del matrimonio. No nos referimos a supuestos donde se haya de valorar la idoneidad o conveniencia del matrimonio por circunstancias fácticas del otro consorte</w:t>
      </w:r>
      <w:r w:rsidR="007D14F2" w:rsidRPr="00EE25D1">
        <w:rPr>
          <w:rFonts w:ascii="Calibri" w:hAnsi="Calibri"/>
          <w:color w:val="000000" w:themeColor="text1"/>
          <w:shd w:val="clear" w:color="auto" w:fill="FFFFFF"/>
        </w:rPr>
        <w:t xml:space="preserve"> (su carácter, su economía, sus condiciones de salud, la diferencia de edad, etc.)</w:t>
      </w:r>
      <w:r w:rsidR="00310684" w:rsidRPr="00EE25D1">
        <w:rPr>
          <w:rFonts w:ascii="Calibri" w:hAnsi="Calibri"/>
          <w:color w:val="000000" w:themeColor="text1"/>
          <w:shd w:val="clear" w:color="auto" w:fill="FFFFFF"/>
        </w:rPr>
        <w:t xml:space="preserve">, sino si este actúa concibiendo el matrimonio como una suerte de </w:t>
      </w:r>
      <w:r w:rsidR="00310684" w:rsidRPr="00EE25D1">
        <w:rPr>
          <w:rFonts w:ascii="Calibri" w:hAnsi="Calibri"/>
          <w:i/>
          <w:color w:val="000000" w:themeColor="text1"/>
          <w:shd w:val="clear" w:color="auto" w:fill="FFFFFF"/>
        </w:rPr>
        <w:t>Caballo de Troya</w:t>
      </w:r>
      <w:r w:rsidR="00310684" w:rsidRPr="00EE25D1">
        <w:rPr>
          <w:rFonts w:ascii="Calibri" w:hAnsi="Calibri"/>
          <w:color w:val="000000" w:themeColor="text1"/>
          <w:shd w:val="clear" w:color="auto" w:fill="FFFFFF"/>
        </w:rPr>
        <w:t xml:space="preserve">  con el fin de conseguir beneficios</w:t>
      </w:r>
      <w:r w:rsidR="007D14F2" w:rsidRPr="00EE25D1">
        <w:rPr>
          <w:rFonts w:ascii="Calibri" w:hAnsi="Calibri"/>
          <w:color w:val="000000" w:themeColor="text1"/>
          <w:shd w:val="clear" w:color="auto" w:fill="FFFFFF"/>
        </w:rPr>
        <w:t xml:space="preserve"> espurios</w:t>
      </w:r>
      <w:r w:rsidR="00310684" w:rsidRPr="00EE25D1">
        <w:rPr>
          <w:rFonts w:ascii="Calibri" w:hAnsi="Calibri"/>
          <w:color w:val="000000" w:themeColor="text1"/>
          <w:shd w:val="clear" w:color="auto" w:fill="FFFFFF"/>
        </w:rPr>
        <w:t xml:space="preserve"> que no estén ligados</w:t>
      </w:r>
      <w:r w:rsidR="007D14F2" w:rsidRPr="00EE25D1">
        <w:rPr>
          <w:rFonts w:ascii="Calibri" w:hAnsi="Calibri"/>
          <w:color w:val="000000" w:themeColor="text1"/>
          <w:shd w:val="clear" w:color="auto" w:fill="FFFFFF"/>
        </w:rPr>
        <w:t>, principalmente,</w:t>
      </w:r>
      <w:r w:rsidR="00310684" w:rsidRPr="00EE25D1">
        <w:rPr>
          <w:rFonts w:ascii="Calibri" w:hAnsi="Calibri"/>
          <w:color w:val="000000" w:themeColor="text1"/>
          <w:shd w:val="clear" w:color="auto" w:fill="FFFFFF"/>
        </w:rPr>
        <w:t xml:space="preserve"> al negocio matrimonial. </w:t>
      </w:r>
    </w:p>
    <w:p w:rsidR="004B514D" w:rsidRPr="00EE25D1" w:rsidRDefault="00310684"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A nuestro juicio, valorando que las personas con discapacidad psíquica, intelectual o mental se pueden</w:t>
      </w:r>
      <w:r w:rsidR="00ED029F" w:rsidRPr="00EE25D1">
        <w:rPr>
          <w:rFonts w:ascii="Calibri" w:hAnsi="Calibri"/>
          <w:color w:val="000000" w:themeColor="text1"/>
          <w:shd w:val="clear" w:color="auto" w:fill="FFFFFF"/>
        </w:rPr>
        <w:t xml:space="preserve"> encontrar, en determinados casos, en una situación de vulnerabilidad en relación a la persona del otro contrayente y que la finalidad del expediente matrimonial es asegurar la veracidad del consentimiento matrimonial, implicando no solo que los contrayente</w:t>
      </w:r>
      <w:r w:rsidR="007D14F2" w:rsidRPr="00EE25D1">
        <w:rPr>
          <w:rFonts w:ascii="Calibri" w:hAnsi="Calibri"/>
          <w:color w:val="000000" w:themeColor="text1"/>
          <w:shd w:val="clear" w:color="auto" w:fill="FFFFFF"/>
        </w:rPr>
        <w:t>s</w:t>
      </w:r>
      <w:r w:rsidR="00ED029F" w:rsidRPr="00EE25D1">
        <w:rPr>
          <w:rFonts w:ascii="Calibri" w:hAnsi="Calibri"/>
          <w:color w:val="000000" w:themeColor="text1"/>
          <w:shd w:val="clear" w:color="auto" w:fill="FFFFFF"/>
        </w:rPr>
        <w:t xml:space="preserve"> tengan aptitud</w:t>
      </w:r>
      <w:r w:rsidR="007D14F2" w:rsidRPr="00EE25D1">
        <w:rPr>
          <w:rFonts w:ascii="Calibri" w:hAnsi="Calibri"/>
          <w:color w:val="000000" w:themeColor="text1"/>
          <w:shd w:val="clear" w:color="auto" w:fill="FFFFFF"/>
        </w:rPr>
        <w:t xml:space="preserve"> para prestarlo,</w:t>
      </w:r>
      <w:r w:rsidR="00ED029F" w:rsidRPr="00EE25D1">
        <w:rPr>
          <w:rFonts w:ascii="Calibri" w:hAnsi="Calibri"/>
          <w:color w:val="000000" w:themeColor="text1"/>
          <w:shd w:val="clear" w:color="auto" w:fill="FFFFFF"/>
        </w:rPr>
        <w:t xml:space="preserve"> sino también que el mismo se presente huérfano de cualquier vicio</w:t>
      </w:r>
      <w:r w:rsidR="00A01386" w:rsidRPr="00EE25D1">
        <w:rPr>
          <w:rFonts w:ascii="Calibri" w:hAnsi="Calibri"/>
          <w:color w:val="000000" w:themeColor="text1"/>
          <w:shd w:val="clear" w:color="auto" w:fill="FFFFFF"/>
        </w:rPr>
        <w:t xml:space="preserve"> </w:t>
      </w:r>
      <w:r w:rsidR="00ED029F" w:rsidRPr="00EE25D1">
        <w:rPr>
          <w:rFonts w:ascii="Calibri" w:hAnsi="Calibri"/>
          <w:color w:val="000000" w:themeColor="text1"/>
          <w:shd w:val="clear" w:color="auto" w:fill="FFFFFF"/>
        </w:rPr>
        <w:t xml:space="preserve">que </w:t>
      </w:r>
      <w:r w:rsidR="007D14F2" w:rsidRPr="00EE25D1">
        <w:rPr>
          <w:rFonts w:ascii="Calibri" w:hAnsi="Calibri"/>
          <w:color w:val="000000" w:themeColor="text1"/>
          <w:shd w:val="clear" w:color="auto" w:fill="FFFFFF"/>
        </w:rPr>
        <w:t xml:space="preserve">pudiese dar lugar a una nulidad, podría afirmarse que </w:t>
      </w:r>
      <w:r w:rsidR="004B514D" w:rsidRPr="00EE25D1">
        <w:rPr>
          <w:rFonts w:ascii="Calibri" w:hAnsi="Calibri"/>
          <w:color w:val="000000" w:themeColor="text1"/>
          <w:shd w:val="clear" w:color="auto" w:fill="FFFFFF"/>
        </w:rPr>
        <w:t>las medidas de apoyo</w:t>
      </w:r>
      <w:r w:rsidR="007D14F2" w:rsidRPr="00EE25D1">
        <w:rPr>
          <w:rFonts w:ascii="Calibri" w:hAnsi="Calibri"/>
          <w:color w:val="000000" w:themeColor="text1"/>
          <w:shd w:val="clear" w:color="auto" w:fill="FFFFFF"/>
        </w:rPr>
        <w:t xml:space="preserve"> deben extenderse a toda ayuda que precise la persona para librarlo</w:t>
      </w:r>
      <w:r w:rsidR="009300CA" w:rsidRPr="00EE25D1">
        <w:rPr>
          <w:rFonts w:ascii="Calibri" w:hAnsi="Calibri"/>
          <w:color w:val="000000" w:themeColor="text1"/>
          <w:shd w:val="clear" w:color="auto" w:fill="FFFFFF"/>
        </w:rPr>
        <w:t xml:space="preserve"> de cualquier vicisitud que pudiera</w:t>
      </w:r>
      <w:r w:rsidR="007D14F2" w:rsidRPr="00EE25D1">
        <w:rPr>
          <w:rFonts w:ascii="Calibri" w:hAnsi="Calibri"/>
          <w:color w:val="000000" w:themeColor="text1"/>
          <w:shd w:val="clear" w:color="auto" w:fill="FFFFFF"/>
        </w:rPr>
        <w:t xml:space="preserve"> invalidar el matrimonio</w:t>
      </w:r>
      <w:r w:rsidR="000B304C" w:rsidRPr="00EE25D1">
        <w:rPr>
          <w:rStyle w:val="Refdenotaalpie"/>
          <w:rFonts w:ascii="Calibri" w:hAnsi="Calibri"/>
          <w:color w:val="000000" w:themeColor="text1"/>
          <w:shd w:val="clear" w:color="auto" w:fill="FFFFFF"/>
        </w:rPr>
        <w:footnoteReference w:id="28"/>
      </w:r>
      <w:r w:rsidR="007D14F2" w:rsidRPr="00EE25D1">
        <w:rPr>
          <w:rFonts w:ascii="Calibri" w:hAnsi="Calibri"/>
          <w:color w:val="000000" w:themeColor="text1"/>
          <w:shd w:val="clear" w:color="auto" w:fill="FFFFFF"/>
        </w:rPr>
        <w:t>.</w:t>
      </w:r>
      <w:r w:rsidR="00ED029F" w:rsidRPr="00EE25D1">
        <w:rPr>
          <w:rFonts w:ascii="Calibri" w:hAnsi="Calibri"/>
          <w:color w:val="000000" w:themeColor="text1"/>
          <w:shd w:val="clear" w:color="auto" w:fill="FFFFFF"/>
        </w:rPr>
        <w:t xml:space="preserve"> </w:t>
      </w:r>
    </w:p>
    <w:p w:rsidR="00310684" w:rsidRPr="00EE25D1" w:rsidRDefault="00ED029F"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Lamentablemente, a veces </w:t>
      </w:r>
      <w:r w:rsidR="004B514D" w:rsidRPr="00EE25D1">
        <w:rPr>
          <w:rFonts w:ascii="Calibri" w:hAnsi="Calibri"/>
          <w:color w:val="000000" w:themeColor="text1"/>
          <w:shd w:val="clear" w:color="auto" w:fill="FFFFFF"/>
        </w:rPr>
        <w:t>las medidas de apoyo</w:t>
      </w:r>
      <w:r w:rsidRPr="00EE25D1">
        <w:rPr>
          <w:rFonts w:ascii="Calibri" w:hAnsi="Calibri"/>
          <w:color w:val="000000" w:themeColor="text1"/>
          <w:shd w:val="clear" w:color="auto" w:fill="FFFFFF"/>
        </w:rPr>
        <w:t xml:space="preserve"> no son suficientes para conseguir dicha empresa; piénsese en un contrayente con discapacidad que está sometido a una curatela y </w:t>
      </w:r>
      <w:r w:rsidR="007D14F2" w:rsidRPr="00EE25D1">
        <w:rPr>
          <w:rFonts w:ascii="Calibri" w:hAnsi="Calibri"/>
          <w:color w:val="000000" w:themeColor="text1"/>
          <w:shd w:val="clear" w:color="auto" w:fill="FFFFFF"/>
        </w:rPr>
        <w:t>fue</w:t>
      </w:r>
      <w:r w:rsidRPr="00EE25D1">
        <w:rPr>
          <w:rFonts w:ascii="Calibri" w:hAnsi="Calibri"/>
          <w:color w:val="000000" w:themeColor="text1"/>
          <w:shd w:val="clear" w:color="auto" w:fill="FFFFFF"/>
        </w:rPr>
        <w:t xml:space="preserve"> nombrado curador una fundación o persona jurídica (segundo párrafo del </w:t>
      </w:r>
      <w:r w:rsidR="0037190C" w:rsidRPr="00EE25D1">
        <w:rPr>
          <w:rFonts w:ascii="Calibri" w:hAnsi="Calibri"/>
        </w:rPr>
        <w:t>artículo</w:t>
      </w:r>
      <w:r w:rsidRPr="00EE25D1">
        <w:rPr>
          <w:rFonts w:ascii="Calibri" w:hAnsi="Calibri"/>
          <w:color w:val="000000" w:themeColor="text1"/>
          <w:shd w:val="clear" w:color="auto" w:fill="FFFFFF"/>
        </w:rPr>
        <w:t xml:space="preserve"> 275.1 CC). A veces estas entidades no conocen el entorno social</w:t>
      </w:r>
      <w:r w:rsidR="00A01386" w:rsidRPr="00EE25D1">
        <w:rPr>
          <w:rFonts w:ascii="Calibri" w:hAnsi="Calibri"/>
          <w:color w:val="000000" w:themeColor="text1"/>
          <w:shd w:val="clear" w:color="auto" w:fill="FFFFFF"/>
        </w:rPr>
        <w:t xml:space="preserve"> </w:t>
      </w:r>
      <w:r w:rsidR="009300CA" w:rsidRPr="00EE25D1">
        <w:rPr>
          <w:rFonts w:ascii="Calibri" w:hAnsi="Calibri"/>
          <w:color w:val="000000" w:themeColor="text1"/>
          <w:shd w:val="clear" w:color="auto" w:fill="FFFFFF"/>
        </w:rPr>
        <w:t xml:space="preserve">ni la idiosincrasia de la </w:t>
      </w:r>
      <w:r w:rsidRPr="00EE25D1">
        <w:rPr>
          <w:rFonts w:ascii="Calibri" w:hAnsi="Calibri"/>
          <w:color w:val="000000" w:themeColor="text1"/>
          <w:shd w:val="clear" w:color="auto" w:fill="FFFFFF"/>
        </w:rPr>
        <w:t xml:space="preserve">persona con discapacidad y, en el expediente matrimonial, quizás hasta puedan desconocer la identidad del otro contrayente. En estos escenarios, es posible que </w:t>
      </w:r>
      <w:r w:rsidR="009300CA" w:rsidRPr="00EE25D1">
        <w:rPr>
          <w:rFonts w:ascii="Calibri" w:hAnsi="Calibri"/>
          <w:color w:val="000000" w:themeColor="text1"/>
          <w:shd w:val="clear" w:color="auto" w:fill="FFFFFF"/>
        </w:rPr>
        <w:t>el apoyo</w:t>
      </w:r>
      <w:r w:rsidR="00932721" w:rsidRPr="00EE25D1">
        <w:rPr>
          <w:rFonts w:ascii="Calibri" w:hAnsi="Calibri"/>
          <w:color w:val="000000" w:themeColor="text1"/>
          <w:shd w:val="clear" w:color="auto" w:fill="FFFFFF"/>
        </w:rPr>
        <w:t xml:space="preserve"> no tenga</w:t>
      </w:r>
      <w:r w:rsidR="00BA3BB8" w:rsidRPr="00EE25D1">
        <w:rPr>
          <w:rFonts w:ascii="Calibri" w:hAnsi="Calibri"/>
          <w:color w:val="000000" w:themeColor="text1"/>
          <w:shd w:val="clear" w:color="auto" w:fill="FFFFFF"/>
        </w:rPr>
        <w:t xml:space="preserve"> la potencialidad, </w:t>
      </w:r>
      <w:r w:rsidR="00BA3BB8" w:rsidRPr="00EE25D1">
        <w:rPr>
          <w:rFonts w:ascii="Calibri" w:hAnsi="Calibri"/>
          <w:i/>
          <w:color w:val="000000" w:themeColor="text1"/>
          <w:shd w:val="clear" w:color="auto" w:fill="FFFFFF"/>
        </w:rPr>
        <w:t>per se</w:t>
      </w:r>
      <w:r w:rsidR="00BA3BB8" w:rsidRPr="00EE25D1">
        <w:rPr>
          <w:rFonts w:ascii="Calibri" w:hAnsi="Calibri"/>
          <w:color w:val="000000" w:themeColor="text1"/>
          <w:shd w:val="clear" w:color="auto" w:fill="FFFFFF"/>
        </w:rPr>
        <w:t>, para librar a la persona con discapacidad de un supuesto de reserva mental artic</w:t>
      </w:r>
      <w:r w:rsidR="00A01386" w:rsidRPr="00EE25D1">
        <w:rPr>
          <w:rFonts w:ascii="Calibri" w:hAnsi="Calibri"/>
          <w:color w:val="000000" w:themeColor="text1"/>
          <w:shd w:val="clear" w:color="auto" w:fill="FFFFFF"/>
        </w:rPr>
        <w:t>ulado por el otro contrayente. Por ello, c</w:t>
      </w:r>
      <w:r w:rsidR="00082867" w:rsidRPr="00EE25D1">
        <w:rPr>
          <w:rFonts w:ascii="Calibri" w:hAnsi="Calibri"/>
          <w:color w:val="000000" w:themeColor="text1"/>
          <w:shd w:val="clear" w:color="auto" w:fill="FFFFFF"/>
        </w:rPr>
        <w:t xml:space="preserve">omo </w:t>
      </w:r>
      <w:r w:rsidR="00BA3BB8" w:rsidRPr="00EE25D1">
        <w:rPr>
          <w:rFonts w:ascii="Calibri" w:hAnsi="Calibri"/>
          <w:color w:val="000000" w:themeColor="text1"/>
          <w:shd w:val="clear" w:color="auto" w:fill="FFFFFF"/>
        </w:rPr>
        <w:t>apunta Guilarte Martín-Calero, sería conveniente que, toda vez que no es</w:t>
      </w:r>
      <w:r w:rsidR="00E77F06" w:rsidRPr="00EE25D1">
        <w:rPr>
          <w:rFonts w:ascii="Calibri" w:hAnsi="Calibri"/>
          <w:color w:val="000000" w:themeColor="text1"/>
          <w:shd w:val="clear" w:color="auto" w:fill="FFFFFF"/>
        </w:rPr>
        <w:t xml:space="preserve"> solo</w:t>
      </w:r>
      <w:r w:rsidR="00A01386" w:rsidRPr="00EE25D1">
        <w:rPr>
          <w:rFonts w:ascii="Calibri" w:hAnsi="Calibri"/>
          <w:color w:val="000000" w:themeColor="text1"/>
          <w:shd w:val="clear" w:color="auto" w:fill="FFFFFF"/>
        </w:rPr>
        <w:t xml:space="preserve"> objeto de control la aptitud de la persona para prestar el </w:t>
      </w:r>
      <w:r w:rsidR="00BA3BB8" w:rsidRPr="00EE25D1">
        <w:rPr>
          <w:rFonts w:ascii="Calibri" w:hAnsi="Calibri"/>
          <w:color w:val="000000" w:themeColor="text1"/>
          <w:shd w:val="clear" w:color="auto" w:fill="FFFFFF"/>
        </w:rPr>
        <w:t xml:space="preserve">consentimiento matrimonial, sino también aquellas circunstancias que puedan afectar al mismo, como los matrimonios </w:t>
      </w:r>
      <w:r w:rsidR="00BA3BB8" w:rsidRPr="00EE25D1">
        <w:rPr>
          <w:rFonts w:ascii="Calibri" w:hAnsi="Calibri"/>
          <w:i/>
          <w:color w:val="000000" w:themeColor="text1"/>
          <w:shd w:val="clear" w:color="auto" w:fill="FFFFFF"/>
        </w:rPr>
        <w:t>in articulo mortis</w:t>
      </w:r>
      <w:r w:rsidR="00BA3BB8" w:rsidRPr="00EE25D1">
        <w:rPr>
          <w:rFonts w:ascii="Calibri" w:hAnsi="Calibri"/>
          <w:color w:val="000000" w:themeColor="text1"/>
          <w:shd w:val="clear" w:color="auto" w:fill="FFFFFF"/>
        </w:rPr>
        <w:t xml:space="preserve"> o los de complacencia, que el encargado del expediente</w:t>
      </w:r>
      <w:r w:rsidR="00E77F06" w:rsidRPr="00EE25D1">
        <w:rPr>
          <w:rFonts w:ascii="Calibri" w:hAnsi="Calibri"/>
          <w:color w:val="000000" w:themeColor="text1"/>
          <w:shd w:val="clear" w:color="auto" w:fill="FFFFFF"/>
        </w:rPr>
        <w:t xml:space="preserve"> recabe</w:t>
      </w:r>
      <w:r w:rsidR="009300CA" w:rsidRPr="00EE25D1">
        <w:rPr>
          <w:rFonts w:ascii="Calibri" w:hAnsi="Calibri"/>
          <w:color w:val="000000" w:themeColor="text1"/>
          <w:shd w:val="clear" w:color="auto" w:fill="FFFFFF"/>
        </w:rPr>
        <w:t>, ante la sospecha de un vicio,</w:t>
      </w:r>
      <w:r w:rsidR="00BA3BB8" w:rsidRPr="00EE25D1">
        <w:rPr>
          <w:rFonts w:ascii="Calibri" w:hAnsi="Calibri"/>
          <w:color w:val="000000" w:themeColor="text1"/>
          <w:shd w:val="clear" w:color="auto" w:fill="FFFFFF"/>
        </w:rPr>
        <w:t xml:space="preserve"> un informe familiar, social y psicosocial de los contrayent</w:t>
      </w:r>
      <w:r w:rsidR="00E77F06" w:rsidRPr="00EE25D1">
        <w:rPr>
          <w:rFonts w:ascii="Calibri" w:hAnsi="Calibri"/>
          <w:color w:val="000000" w:themeColor="text1"/>
          <w:shd w:val="clear" w:color="auto" w:fill="FFFFFF"/>
        </w:rPr>
        <w:t xml:space="preserve">es, en virtud del </w:t>
      </w:r>
      <w:r w:rsidR="0037190C" w:rsidRPr="00EE25D1">
        <w:rPr>
          <w:rFonts w:ascii="Calibri" w:hAnsi="Calibri"/>
        </w:rPr>
        <w:t>artículo</w:t>
      </w:r>
      <w:r w:rsidR="00E77F06" w:rsidRPr="00EE25D1">
        <w:rPr>
          <w:rFonts w:ascii="Calibri" w:hAnsi="Calibri"/>
          <w:color w:val="000000" w:themeColor="text1"/>
          <w:shd w:val="clear" w:color="auto" w:fill="FFFFFF"/>
        </w:rPr>
        <w:t xml:space="preserve"> 58.5 </w:t>
      </w:r>
      <w:r w:rsidR="00C02EF1" w:rsidRPr="00EE25D1">
        <w:rPr>
          <w:rFonts w:ascii="Calibri" w:hAnsi="Calibri"/>
          <w:color w:val="000000" w:themeColor="text1"/>
          <w:shd w:val="clear" w:color="auto" w:fill="FFFFFF"/>
        </w:rPr>
        <w:t xml:space="preserve">de la </w:t>
      </w:r>
      <w:r w:rsidR="00E77F06" w:rsidRPr="00EE25D1">
        <w:rPr>
          <w:rFonts w:ascii="Calibri" w:hAnsi="Calibri"/>
          <w:color w:val="000000" w:themeColor="text1"/>
          <w:shd w:val="clear" w:color="auto" w:fill="FFFFFF"/>
        </w:rPr>
        <w:t>L</w:t>
      </w:r>
      <w:r w:rsidR="00C02EF1" w:rsidRPr="00EE25D1">
        <w:rPr>
          <w:rFonts w:ascii="Calibri" w:hAnsi="Calibri"/>
          <w:color w:val="000000" w:themeColor="text1"/>
          <w:shd w:val="clear" w:color="auto" w:fill="FFFFFF"/>
        </w:rPr>
        <w:t>ey 20/2011, de 21 de julio, del Registro Civil (LRC)</w:t>
      </w:r>
      <w:r w:rsidR="00BA3BB8" w:rsidRPr="00EE25D1">
        <w:rPr>
          <w:rStyle w:val="Refdenotaalpie"/>
          <w:rFonts w:ascii="Calibri" w:hAnsi="Calibri"/>
          <w:color w:val="000000" w:themeColor="text1"/>
          <w:shd w:val="clear" w:color="auto" w:fill="FFFFFF"/>
        </w:rPr>
        <w:footnoteReference w:id="29"/>
      </w:r>
      <w:r w:rsidR="00E77F06" w:rsidRPr="00EE25D1">
        <w:rPr>
          <w:rFonts w:ascii="Calibri" w:hAnsi="Calibri"/>
          <w:color w:val="000000" w:themeColor="text1"/>
          <w:shd w:val="clear" w:color="auto" w:fill="FFFFFF"/>
        </w:rPr>
        <w:t>.</w:t>
      </w:r>
    </w:p>
    <w:p w:rsidR="000B304C" w:rsidRPr="00EE25D1" w:rsidRDefault="00C02EF1" w:rsidP="00D44BF1">
      <w:pPr>
        <w:tabs>
          <w:tab w:val="left" w:pos="8505"/>
        </w:tabs>
        <w:spacing w:before="100" w:beforeAutospacing="1" w:after="100" w:afterAutospacing="1"/>
        <w:rPr>
          <w:rFonts w:ascii="Calibri" w:hAnsi="Calibri"/>
          <w:b/>
          <w:color w:val="000000" w:themeColor="text1"/>
          <w:shd w:val="clear" w:color="auto" w:fill="FFFFFF"/>
        </w:rPr>
      </w:pPr>
      <w:r w:rsidRPr="00EE25D1">
        <w:rPr>
          <w:rFonts w:ascii="Calibri" w:hAnsi="Calibri"/>
          <w:b/>
          <w:color w:val="000000" w:themeColor="text1"/>
          <w:shd w:val="clear" w:color="auto" w:fill="FFFFFF"/>
        </w:rPr>
        <w:t>2.4.2.</w:t>
      </w:r>
      <w:r w:rsidR="000B304C" w:rsidRPr="00EE25D1">
        <w:rPr>
          <w:rFonts w:ascii="Calibri" w:hAnsi="Calibri"/>
          <w:b/>
          <w:color w:val="000000" w:themeColor="text1"/>
          <w:shd w:val="clear" w:color="auto" w:fill="FFFFFF"/>
        </w:rPr>
        <w:t xml:space="preserve"> El c</w:t>
      </w:r>
      <w:r w:rsidR="00E56AD8" w:rsidRPr="00EE25D1">
        <w:rPr>
          <w:rFonts w:ascii="Calibri" w:hAnsi="Calibri"/>
          <w:b/>
          <w:color w:val="000000" w:themeColor="text1"/>
          <w:shd w:val="clear" w:color="auto" w:fill="FFFFFF"/>
        </w:rPr>
        <w:t>ontrayente desprovisto de apoyo</w:t>
      </w:r>
    </w:p>
    <w:p w:rsidR="003048AE" w:rsidRPr="00EE25D1" w:rsidRDefault="000B304C"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Es posible que en el expediente matrimonial la autoridad o</w:t>
      </w:r>
      <w:r w:rsidR="004B514D" w:rsidRPr="00EE25D1">
        <w:rPr>
          <w:rFonts w:ascii="Calibri" w:hAnsi="Calibri"/>
          <w:color w:val="000000" w:themeColor="text1"/>
          <w:shd w:val="clear" w:color="auto" w:fill="FFFFFF"/>
        </w:rPr>
        <w:t xml:space="preserve"> funcionario competente constate</w:t>
      </w:r>
      <w:r w:rsidRPr="00EE25D1">
        <w:rPr>
          <w:rFonts w:ascii="Calibri" w:hAnsi="Calibri"/>
          <w:color w:val="000000" w:themeColor="text1"/>
          <w:shd w:val="clear" w:color="auto" w:fill="FFFFFF"/>
        </w:rPr>
        <w:t xml:space="preserve"> que el contrayente con discapacidad no </w:t>
      </w:r>
      <w:r w:rsidR="004B514D" w:rsidRPr="00EE25D1">
        <w:rPr>
          <w:rFonts w:ascii="Calibri" w:hAnsi="Calibri"/>
          <w:color w:val="000000" w:themeColor="text1"/>
          <w:shd w:val="clear" w:color="auto" w:fill="FFFFFF"/>
        </w:rPr>
        <w:t>posee</w:t>
      </w:r>
      <w:r w:rsidRPr="00EE25D1">
        <w:rPr>
          <w:rFonts w:ascii="Calibri" w:hAnsi="Calibri"/>
          <w:color w:val="000000" w:themeColor="text1"/>
          <w:shd w:val="clear" w:color="auto" w:fill="FFFFFF"/>
        </w:rPr>
        <w:t xml:space="preserve"> la</w:t>
      </w:r>
      <w:r w:rsidR="00D90EC9"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suficient</w:t>
      </w:r>
      <w:r w:rsidR="004B514D" w:rsidRPr="00EE25D1">
        <w:rPr>
          <w:rFonts w:ascii="Calibri" w:hAnsi="Calibri"/>
          <w:color w:val="000000" w:themeColor="text1"/>
          <w:shd w:val="clear" w:color="auto" w:fill="FFFFFF"/>
        </w:rPr>
        <w:t>e aptitud cognitiva</w:t>
      </w:r>
      <w:r w:rsidR="00D90EC9" w:rsidRPr="00EE25D1">
        <w:rPr>
          <w:rFonts w:ascii="Calibri" w:hAnsi="Calibri"/>
          <w:color w:val="000000" w:themeColor="text1"/>
          <w:shd w:val="clear" w:color="auto" w:fill="FFFFFF"/>
        </w:rPr>
        <w:t xml:space="preserve"> e intelectiva para prestar el consentim</w:t>
      </w:r>
      <w:r w:rsidR="00C71F23" w:rsidRPr="00EE25D1">
        <w:rPr>
          <w:rFonts w:ascii="Calibri" w:hAnsi="Calibri"/>
          <w:color w:val="000000" w:themeColor="text1"/>
          <w:shd w:val="clear" w:color="auto" w:fill="FFFFFF"/>
        </w:rPr>
        <w:t xml:space="preserve">iento matrimonial.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D90EC9" w:rsidRPr="00EE25D1">
        <w:rPr>
          <w:rFonts w:ascii="Calibri" w:hAnsi="Calibri"/>
          <w:color w:val="000000" w:themeColor="text1"/>
          <w:shd w:val="clear" w:color="auto" w:fill="FFFFFF"/>
        </w:rPr>
        <w:t xml:space="preserve"> dispone que, antes de recabar el dictamen médico, el encargado deberá comprobar si aquel es capaz de formar su volun</w:t>
      </w:r>
      <w:r w:rsidR="004B514D" w:rsidRPr="00EE25D1">
        <w:rPr>
          <w:rFonts w:ascii="Calibri" w:hAnsi="Calibri"/>
          <w:color w:val="000000" w:themeColor="text1"/>
          <w:shd w:val="clear" w:color="auto" w:fill="FFFFFF"/>
        </w:rPr>
        <w:t>tad con la presencia de medidas de apoyo.</w:t>
      </w:r>
    </w:p>
    <w:p w:rsidR="00A754A7" w:rsidRPr="00EE25D1" w:rsidRDefault="00494B22"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La orfandad de apoyos </w:t>
      </w:r>
      <w:r w:rsidR="00E24288" w:rsidRPr="00EE25D1">
        <w:rPr>
          <w:rFonts w:ascii="Calibri" w:hAnsi="Calibri"/>
          <w:color w:val="000000" w:themeColor="text1"/>
          <w:shd w:val="clear" w:color="auto" w:fill="FFFFFF"/>
        </w:rPr>
        <w:t xml:space="preserve">parece que </w:t>
      </w:r>
      <w:r w:rsidRPr="00EE25D1">
        <w:rPr>
          <w:rFonts w:ascii="Calibri" w:hAnsi="Calibri"/>
          <w:color w:val="000000" w:themeColor="text1"/>
          <w:shd w:val="clear" w:color="auto" w:fill="FFFFFF"/>
        </w:rPr>
        <w:t>no es un inconveniente cuando la persona con discapacidad va a otorgar testamento, toda vez q</w:t>
      </w:r>
      <w:r w:rsidR="00C71F23" w:rsidRPr="00EE25D1">
        <w:rPr>
          <w:rFonts w:ascii="Calibri" w:hAnsi="Calibri"/>
          <w:color w:val="000000" w:themeColor="text1"/>
          <w:shd w:val="clear" w:color="auto" w:fill="FFFFFF"/>
        </w:rPr>
        <w:t xml:space="preserve">ue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665 </w:t>
      </w:r>
      <w:r w:rsidR="00C71F23" w:rsidRPr="00EE25D1">
        <w:rPr>
          <w:rFonts w:ascii="Calibri" w:hAnsi="Calibri"/>
        </w:rPr>
        <w:t>del Código Civil</w:t>
      </w:r>
      <w:r w:rsidR="00203AC6" w:rsidRPr="00EE25D1">
        <w:rPr>
          <w:rFonts w:ascii="Calibri" w:hAnsi="Calibri"/>
          <w:color w:val="000000" w:themeColor="text1"/>
          <w:shd w:val="clear" w:color="auto" w:fill="FFFFFF"/>
        </w:rPr>
        <w:t xml:space="preserve"> contempla el </w:t>
      </w:r>
      <w:r w:rsidRPr="00EE25D1">
        <w:rPr>
          <w:rFonts w:ascii="Calibri" w:hAnsi="Calibri"/>
          <w:color w:val="000000" w:themeColor="text1"/>
          <w:shd w:val="clear" w:color="auto" w:fill="FFFFFF"/>
        </w:rPr>
        <w:t xml:space="preserve">apoyo </w:t>
      </w:r>
      <w:r w:rsidR="00203AC6" w:rsidRPr="00EE25D1">
        <w:rPr>
          <w:rFonts w:ascii="Calibri" w:hAnsi="Calibri"/>
          <w:color w:val="000000" w:themeColor="text1"/>
          <w:shd w:val="clear" w:color="auto" w:fill="FFFFFF"/>
        </w:rPr>
        <w:t>institucional</w:t>
      </w:r>
      <w:r w:rsidRPr="00EE25D1">
        <w:rPr>
          <w:rFonts w:ascii="Calibri" w:hAnsi="Calibri"/>
          <w:color w:val="000000" w:themeColor="text1"/>
          <w:shd w:val="clear" w:color="auto" w:fill="FFFFFF"/>
        </w:rPr>
        <w:t xml:space="preserve"> del Notario. Esta posibilidad no está </w:t>
      </w:r>
      <w:r w:rsidR="00E24288" w:rsidRPr="00EE25D1">
        <w:rPr>
          <w:rFonts w:ascii="Calibri" w:hAnsi="Calibri"/>
          <w:color w:val="000000" w:themeColor="text1"/>
          <w:shd w:val="clear" w:color="auto" w:fill="FFFFFF"/>
        </w:rPr>
        <w:t>prevista</w:t>
      </w:r>
      <w:r w:rsidR="00C71F23" w:rsidRPr="00EE25D1">
        <w:rPr>
          <w:rFonts w:ascii="Calibri" w:hAnsi="Calibri"/>
          <w:color w:val="000000" w:themeColor="text1"/>
          <w:shd w:val="clear" w:color="auto" w:fill="FFFFFF"/>
        </w:rPr>
        <w:t xml:space="preserve"> en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Pr="00EE25D1">
        <w:rPr>
          <w:rFonts w:ascii="Calibri" w:hAnsi="Calibri"/>
          <w:color w:val="000000" w:themeColor="text1"/>
          <w:shd w:val="clear" w:color="auto" w:fill="FFFFFF"/>
        </w:rPr>
        <w:t xml:space="preserve"> y, a nuestro juicio, no podría ser objeto de aplicación analógi</w:t>
      </w:r>
      <w:r w:rsidR="00B56B8D" w:rsidRPr="00EE25D1">
        <w:rPr>
          <w:rFonts w:ascii="Calibri" w:hAnsi="Calibri"/>
          <w:color w:val="000000" w:themeColor="text1"/>
          <w:shd w:val="clear" w:color="auto" w:fill="FFFFFF"/>
        </w:rPr>
        <w:t>ca</w:t>
      </w:r>
      <w:r w:rsidR="00E24288" w:rsidRPr="00EE25D1">
        <w:rPr>
          <w:rFonts w:ascii="Calibri" w:hAnsi="Calibri"/>
          <w:color w:val="000000" w:themeColor="text1"/>
          <w:shd w:val="clear" w:color="auto" w:fill="FFFFFF"/>
        </w:rPr>
        <w:t>, en sentido estricto,</w:t>
      </w:r>
      <w:r w:rsidR="00B56B8D" w:rsidRPr="00EE25D1">
        <w:rPr>
          <w:rFonts w:ascii="Calibri" w:hAnsi="Calibri"/>
          <w:color w:val="000000" w:themeColor="text1"/>
          <w:shd w:val="clear" w:color="auto" w:fill="FFFFFF"/>
        </w:rPr>
        <w:t xml:space="preserve"> en el expediente matrimonial</w:t>
      </w:r>
      <w:r w:rsidR="00E00200" w:rsidRPr="00EE25D1">
        <w:rPr>
          <w:rStyle w:val="Refdenotaalpie"/>
          <w:rFonts w:ascii="Calibri" w:hAnsi="Calibri"/>
          <w:color w:val="000000" w:themeColor="text1"/>
          <w:shd w:val="clear" w:color="auto" w:fill="FFFFFF"/>
        </w:rPr>
        <w:footnoteReference w:id="30"/>
      </w:r>
      <w:r w:rsidR="00B56B8D" w:rsidRPr="00EE25D1">
        <w:rPr>
          <w:rFonts w:ascii="Calibri" w:hAnsi="Calibri"/>
          <w:color w:val="000000" w:themeColor="text1"/>
          <w:shd w:val="clear" w:color="auto" w:fill="FFFFFF"/>
        </w:rPr>
        <w:t xml:space="preserve">, por </w:t>
      </w:r>
      <w:r w:rsidR="00E038ED" w:rsidRPr="00EE25D1">
        <w:rPr>
          <w:rFonts w:ascii="Calibri" w:hAnsi="Calibri"/>
          <w:color w:val="000000" w:themeColor="text1"/>
          <w:shd w:val="clear" w:color="auto" w:fill="FFFFFF"/>
        </w:rPr>
        <w:t>tres</w:t>
      </w:r>
      <w:r w:rsidR="00932721" w:rsidRPr="00EE25D1">
        <w:rPr>
          <w:rFonts w:ascii="Calibri" w:hAnsi="Calibri"/>
          <w:color w:val="000000" w:themeColor="text1"/>
          <w:shd w:val="clear" w:color="auto" w:fill="FFFFFF"/>
        </w:rPr>
        <w:t xml:space="preserve"> razones. </w:t>
      </w:r>
      <w:r w:rsidR="00C56647" w:rsidRPr="00EE25D1">
        <w:rPr>
          <w:rFonts w:ascii="Calibri" w:hAnsi="Calibri"/>
          <w:color w:val="000000" w:themeColor="text1"/>
          <w:shd w:val="clear" w:color="auto" w:fill="FFFFFF"/>
        </w:rPr>
        <w:t>L</w:t>
      </w:r>
      <w:r w:rsidR="00B56B8D" w:rsidRPr="00EE25D1">
        <w:rPr>
          <w:rFonts w:ascii="Calibri" w:hAnsi="Calibri"/>
          <w:color w:val="000000" w:themeColor="text1"/>
          <w:shd w:val="clear" w:color="auto" w:fill="FFFFFF"/>
        </w:rPr>
        <w:t>a primera es que el legislador patrio contempló el apoyo institucional del Notario en el ámbito testament</w:t>
      </w:r>
      <w:r w:rsidR="00E038ED" w:rsidRPr="00EE25D1">
        <w:rPr>
          <w:rFonts w:ascii="Calibri" w:hAnsi="Calibri"/>
          <w:color w:val="000000" w:themeColor="text1"/>
          <w:shd w:val="clear" w:color="auto" w:fill="FFFFFF"/>
        </w:rPr>
        <w:t>ario</w:t>
      </w:r>
      <w:r w:rsidR="00C71F23" w:rsidRPr="00EE25D1">
        <w:rPr>
          <w:rFonts w:ascii="Calibri" w:hAnsi="Calibri"/>
          <w:color w:val="000000" w:themeColor="text1"/>
          <w:shd w:val="clear" w:color="auto" w:fill="FFFFFF"/>
        </w:rPr>
        <w:t xml:space="preserve">, no reformando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B56B8D" w:rsidRPr="00EE25D1">
        <w:rPr>
          <w:rFonts w:ascii="Calibri" w:hAnsi="Calibri"/>
          <w:color w:val="000000" w:themeColor="text1"/>
          <w:shd w:val="clear" w:color="auto" w:fill="FFFFFF"/>
        </w:rPr>
        <w:t>con ocasión de la LAPCD</w:t>
      </w:r>
      <w:r w:rsidR="00E038ED" w:rsidRPr="00EE25D1">
        <w:rPr>
          <w:rFonts w:ascii="Calibri" w:hAnsi="Calibri"/>
          <w:color w:val="000000" w:themeColor="text1"/>
          <w:shd w:val="clear" w:color="auto" w:fill="FFFFFF"/>
        </w:rPr>
        <w:t xml:space="preserve"> atribuyéndole dicha competencia a la a</w:t>
      </w:r>
      <w:r w:rsidR="008844D6" w:rsidRPr="00EE25D1">
        <w:rPr>
          <w:rFonts w:ascii="Calibri" w:hAnsi="Calibri"/>
          <w:color w:val="000000" w:themeColor="text1"/>
          <w:shd w:val="clear" w:color="auto" w:fill="FFFFFF"/>
        </w:rPr>
        <w:t>utoridad o funcionario encargado</w:t>
      </w:r>
      <w:r w:rsidR="00E038ED" w:rsidRPr="00EE25D1">
        <w:rPr>
          <w:rFonts w:ascii="Calibri" w:hAnsi="Calibri"/>
          <w:color w:val="000000" w:themeColor="text1"/>
          <w:shd w:val="clear" w:color="auto" w:fill="FFFFFF"/>
        </w:rPr>
        <w:t xml:space="preserve"> del acta matrimonial</w:t>
      </w:r>
      <w:r w:rsidR="002C533F" w:rsidRPr="00EE25D1">
        <w:rPr>
          <w:rFonts w:ascii="Calibri" w:hAnsi="Calibri"/>
          <w:color w:val="000000" w:themeColor="text1"/>
          <w:shd w:val="clear" w:color="auto" w:fill="FFFFFF"/>
        </w:rPr>
        <w:t>. E</w:t>
      </w:r>
      <w:r w:rsidR="00B56B8D" w:rsidRPr="00EE25D1">
        <w:rPr>
          <w:rFonts w:ascii="Calibri" w:hAnsi="Calibri"/>
          <w:color w:val="000000" w:themeColor="text1"/>
          <w:shd w:val="clear" w:color="auto" w:fill="FFFFFF"/>
        </w:rPr>
        <w:t xml:space="preserve">n segundo lugar, aunque tanto el testamento como el matrimonio sean negocios </w:t>
      </w:r>
      <w:r w:rsidR="00B56B8D" w:rsidRPr="00EE25D1">
        <w:rPr>
          <w:rFonts w:ascii="Calibri" w:hAnsi="Calibri"/>
          <w:i/>
          <w:color w:val="000000" w:themeColor="text1"/>
          <w:shd w:val="clear" w:color="auto" w:fill="FFFFFF"/>
        </w:rPr>
        <w:t>intuitu personae</w:t>
      </w:r>
      <w:r w:rsidR="00B56B8D" w:rsidRPr="00EE25D1">
        <w:rPr>
          <w:rFonts w:ascii="Calibri" w:hAnsi="Calibri"/>
          <w:color w:val="000000" w:themeColor="text1"/>
          <w:shd w:val="clear" w:color="auto" w:fill="FFFFFF"/>
        </w:rPr>
        <w:t xml:space="preserve"> y existenciales, el primero tiene una sustantividad patrimonial, mientras que en el segundo adquiere preponderancia el elemento personal</w:t>
      </w:r>
      <w:r w:rsidR="00F460B3" w:rsidRPr="00EE25D1">
        <w:rPr>
          <w:rStyle w:val="Refdenotaalpie"/>
          <w:rFonts w:ascii="Calibri" w:hAnsi="Calibri"/>
          <w:color w:val="000000" w:themeColor="text1"/>
          <w:shd w:val="clear" w:color="auto" w:fill="FFFFFF"/>
        </w:rPr>
        <w:footnoteReference w:id="31"/>
      </w:r>
      <w:r w:rsidR="00B56B8D" w:rsidRPr="00EE25D1">
        <w:rPr>
          <w:rFonts w:ascii="Calibri" w:hAnsi="Calibri"/>
          <w:color w:val="000000" w:themeColor="text1"/>
          <w:shd w:val="clear" w:color="auto" w:fill="FFFFFF"/>
        </w:rPr>
        <w:t xml:space="preserve">, teniendo más virtualidad el apoyo institucionalizado en el testamento, toda vez </w:t>
      </w:r>
      <w:r w:rsidR="002C533F" w:rsidRPr="00EE25D1">
        <w:rPr>
          <w:rFonts w:ascii="Calibri" w:hAnsi="Calibri"/>
          <w:color w:val="000000" w:themeColor="text1"/>
          <w:shd w:val="clear" w:color="auto" w:fill="FFFFFF"/>
        </w:rPr>
        <w:t>que este auxilia</w:t>
      </w:r>
      <w:r w:rsidR="007043F8" w:rsidRPr="00EE25D1">
        <w:rPr>
          <w:rFonts w:ascii="Calibri" w:hAnsi="Calibri"/>
          <w:color w:val="000000" w:themeColor="text1"/>
          <w:shd w:val="clear" w:color="auto" w:fill="FFFFFF"/>
        </w:rPr>
        <w:t xml:space="preserve"> y asesora</w:t>
      </w:r>
      <w:r w:rsidR="00B56B8D" w:rsidRPr="00EE25D1">
        <w:rPr>
          <w:rFonts w:ascii="Calibri" w:hAnsi="Calibri"/>
          <w:color w:val="000000" w:themeColor="text1"/>
          <w:shd w:val="clear" w:color="auto" w:fill="FFFFFF"/>
        </w:rPr>
        <w:t xml:space="preserve"> al testador con discapacidad para comprender el alcance de sus disposiciones</w:t>
      </w:r>
      <w:r w:rsidR="00E038ED" w:rsidRPr="00EE25D1">
        <w:rPr>
          <w:rFonts w:ascii="Calibri" w:hAnsi="Calibri"/>
          <w:color w:val="000000" w:themeColor="text1"/>
          <w:shd w:val="clear" w:color="auto" w:fill="FFFFFF"/>
        </w:rPr>
        <w:t>,</w:t>
      </w:r>
      <w:r w:rsidR="00000B07" w:rsidRPr="00EE25D1">
        <w:rPr>
          <w:rFonts w:ascii="Calibri" w:hAnsi="Calibri"/>
          <w:color w:val="000000" w:themeColor="text1"/>
          <w:shd w:val="clear" w:color="auto" w:fill="FFFFFF"/>
        </w:rPr>
        <w:t xml:space="preserve"> las cuales generalmente será</w:t>
      </w:r>
      <w:r w:rsidR="004B514D" w:rsidRPr="00EE25D1">
        <w:rPr>
          <w:rFonts w:ascii="Calibri" w:hAnsi="Calibri"/>
          <w:color w:val="000000" w:themeColor="text1"/>
          <w:shd w:val="clear" w:color="auto" w:fill="FFFFFF"/>
        </w:rPr>
        <w:t xml:space="preserve">n patrimoniales; </w:t>
      </w:r>
      <w:r w:rsidR="00E038ED" w:rsidRPr="00EE25D1">
        <w:rPr>
          <w:rFonts w:ascii="Calibri" w:hAnsi="Calibri"/>
          <w:color w:val="000000" w:themeColor="text1"/>
          <w:shd w:val="clear" w:color="auto" w:fill="FFFFFF"/>
        </w:rPr>
        <w:t>sin embargo, para dispensar el apoyo que implica el consentimiento matrimonial</w:t>
      </w:r>
      <w:r w:rsidR="00E16093" w:rsidRPr="00EE25D1">
        <w:rPr>
          <w:rFonts w:ascii="Calibri" w:hAnsi="Calibri"/>
          <w:color w:val="000000" w:themeColor="text1"/>
          <w:shd w:val="clear" w:color="auto" w:fill="FFFFFF"/>
        </w:rPr>
        <w:t>,</w:t>
      </w:r>
      <w:r w:rsidR="00E038ED" w:rsidRPr="00EE25D1">
        <w:rPr>
          <w:rFonts w:ascii="Calibri" w:hAnsi="Calibri"/>
          <w:color w:val="000000" w:themeColor="text1"/>
          <w:shd w:val="clear" w:color="auto" w:fill="FFFFFF"/>
        </w:rPr>
        <w:t xml:space="preserve"> la figura del Notario excedería de las </w:t>
      </w:r>
      <w:r w:rsidR="008E0227" w:rsidRPr="00EE25D1">
        <w:rPr>
          <w:rFonts w:ascii="Calibri" w:hAnsi="Calibri"/>
          <w:color w:val="000000" w:themeColor="text1"/>
          <w:shd w:val="clear" w:color="auto" w:fill="FFFFFF"/>
        </w:rPr>
        <w:t>funciones que tiene atribuidas</w:t>
      </w:r>
      <w:r w:rsidR="004B514D" w:rsidRPr="00EE25D1">
        <w:rPr>
          <w:rFonts w:ascii="Calibri" w:hAnsi="Calibri"/>
          <w:color w:val="000000" w:themeColor="text1"/>
          <w:shd w:val="clear" w:color="auto" w:fill="FFFFFF"/>
        </w:rPr>
        <w:t xml:space="preserve">, pues </w:t>
      </w:r>
      <w:r w:rsidR="00E24288" w:rsidRPr="00EE25D1">
        <w:rPr>
          <w:rFonts w:ascii="Calibri" w:hAnsi="Calibri"/>
          <w:color w:val="000000" w:themeColor="text1"/>
          <w:shd w:val="clear" w:color="auto" w:fill="FFFFFF"/>
        </w:rPr>
        <w:t xml:space="preserve">el Notario, amén de informar y dispensar a los interesados un asesoramiento técnico, puede servir de apoyo en la empresa de evitar captaciones de voluntad, sin embargo, dudosamente podrá representar un apoyo para auxiliar a la persona con discapacidad </w:t>
      </w:r>
      <w:r w:rsidR="00311472" w:rsidRPr="00EE25D1">
        <w:rPr>
          <w:rFonts w:ascii="Calibri" w:hAnsi="Calibri"/>
          <w:color w:val="000000" w:themeColor="text1"/>
          <w:shd w:val="clear" w:color="auto" w:fill="FFFFFF"/>
        </w:rPr>
        <w:t>a fin de formar un</w:t>
      </w:r>
      <w:r w:rsidR="00E24288" w:rsidRPr="00EE25D1">
        <w:rPr>
          <w:rFonts w:ascii="Calibri" w:hAnsi="Calibri"/>
          <w:color w:val="000000" w:themeColor="text1"/>
          <w:shd w:val="clear" w:color="auto" w:fill="FFFFFF"/>
        </w:rPr>
        <w:t xml:space="preserve"> consentimiento a tenor de su voluntad, deseos y prefere</w:t>
      </w:r>
      <w:r w:rsidR="00932721" w:rsidRPr="00EE25D1">
        <w:rPr>
          <w:rFonts w:ascii="Calibri" w:hAnsi="Calibri"/>
          <w:color w:val="000000" w:themeColor="text1"/>
          <w:shd w:val="clear" w:color="auto" w:fill="FFFFFF"/>
        </w:rPr>
        <w:t xml:space="preserve">ncias, por una razón elemental: </w:t>
      </w:r>
      <w:r w:rsidR="00E24288" w:rsidRPr="00EE25D1">
        <w:rPr>
          <w:rFonts w:ascii="Calibri" w:hAnsi="Calibri"/>
          <w:color w:val="000000" w:themeColor="text1"/>
          <w:shd w:val="clear" w:color="auto" w:fill="FFFFFF"/>
        </w:rPr>
        <w:t>la person</w:t>
      </w:r>
      <w:r w:rsidR="00311472" w:rsidRPr="00EE25D1">
        <w:rPr>
          <w:rFonts w:ascii="Calibri" w:hAnsi="Calibri"/>
          <w:color w:val="000000" w:themeColor="text1"/>
          <w:shd w:val="clear" w:color="auto" w:fill="FFFFFF"/>
        </w:rPr>
        <w:t xml:space="preserve">a que ejerce la medida de apoyo </w:t>
      </w:r>
      <w:r w:rsidR="00E24288" w:rsidRPr="00EE25D1">
        <w:rPr>
          <w:rFonts w:ascii="Calibri" w:hAnsi="Calibri"/>
          <w:color w:val="000000" w:themeColor="text1"/>
          <w:shd w:val="clear" w:color="auto" w:fill="FFFFFF"/>
        </w:rPr>
        <w:t>tendrá que mantener un contacto estrecho y pers</w:t>
      </w:r>
      <w:r w:rsidR="00932721" w:rsidRPr="00EE25D1">
        <w:rPr>
          <w:rFonts w:ascii="Calibri" w:hAnsi="Calibri"/>
          <w:color w:val="000000" w:themeColor="text1"/>
          <w:shd w:val="clear" w:color="auto" w:fill="FFFFFF"/>
        </w:rPr>
        <w:t xml:space="preserve">onal con la persona a la que </w:t>
      </w:r>
      <w:r w:rsidR="00E24288" w:rsidRPr="00EE25D1">
        <w:rPr>
          <w:rFonts w:ascii="Calibri" w:hAnsi="Calibri"/>
          <w:color w:val="000000" w:themeColor="text1"/>
          <w:shd w:val="clear" w:color="auto" w:fill="FFFFFF"/>
        </w:rPr>
        <w:t>va a prestar apoyo (</w:t>
      </w:r>
      <w:r w:rsidR="00545FB7" w:rsidRPr="00EE25D1">
        <w:rPr>
          <w:rFonts w:ascii="Calibri" w:hAnsi="Calibri"/>
        </w:rPr>
        <w:t>art.</w:t>
      </w:r>
      <w:r w:rsidR="00E24288" w:rsidRPr="00EE25D1">
        <w:rPr>
          <w:rFonts w:ascii="Calibri" w:hAnsi="Calibri"/>
          <w:color w:val="000000" w:themeColor="text1"/>
          <w:shd w:val="clear" w:color="auto" w:fill="FFFFFF"/>
        </w:rPr>
        <w:t xml:space="preserve"> 282 CC), m</w:t>
      </w:r>
      <w:r w:rsidR="00964104" w:rsidRPr="00EE25D1">
        <w:rPr>
          <w:rFonts w:ascii="Calibri" w:hAnsi="Calibri"/>
          <w:color w:val="000000" w:themeColor="text1"/>
          <w:shd w:val="clear" w:color="auto" w:fill="FFFFFF"/>
        </w:rPr>
        <w:t>ientras que el Notario desconocerá, por la carencia de dicho contacto, las inquietudes personales y la trayectoria de la persona con discapacidad, no pudiendo dispensar, por lógicas razones, un apoyo</w:t>
      </w:r>
      <w:r w:rsidR="004B514D" w:rsidRPr="00EE25D1">
        <w:rPr>
          <w:rFonts w:ascii="Calibri" w:hAnsi="Calibri"/>
          <w:color w:val="000000" w:themeColor="text1"/>
          <w:shd w:val="clear" w:color="auto" w:fill="FFFFFF"/>
        </w:rPr>
        <w:t xml:space="preserve"> en el matrimonio</w:t>
      </w:r>
      <w:r w:rsidR="00964104" w:rsidRPr="00EE25D1">
        <w:rPr>
          <w:rFonts w:ascii="Calibri" w:hAnsi="Calibri"/>
          <w:color w:val="000000" w:themeColor="text1"/>
          <w:shd w:val="clear" w:color="auto" w:fill="FFFFFF"/>
        </w:rPr>
        <w:t xml:space="preserve"> que vaya más allá </w:t>
      </w:r>
      <w:r w:rsidR="004B514D" w:rsidRPr="00EE25D1">
        <w:rPr>
          <w:rFonts w:ascii="Calibri" w:hAnsi="Calibri"/>
          <w:color w:val="000000" w:themeColor="text1"/>
          <w:shd w:val="clear" w:color="auto" w:fill="FFFFFF"/>
        </w:rPr>
        <w:t>de la función de</w:t>
      </w:r>
      <w:r w:rsidR="00964104" w:rsidRPr="00EE25D1">
        <w:rPr>
          <w:rFonts w:ascii="Calibri" w:hAnsi="Calibri"/>
          <w:color w:val="000000" w:themeColor="text1"/>
          <w:shd w:val="clear" w:color="auto" w:fill="FFFFFF"/>
        </w:rPr>
        <w:t xml:space="preserve"> salvaguardia de los posibles</w:t>
      </w:r>
      <w:r w:rsidR="004B514D" w:rsidRPr="00EE25D1">
        <w:rPr>
          <w:rFonts w:ascii="Calibri" w:hAnsi="Calibri"/>
          <w:color w:val="000000" w:themeColor="text1"/>
          <w:shd w:val="clear" w:color="auto" w:fill="FFFFFF"/>
        </w:rPr>
        <w:t xml:space="preserve"> defectos o</w:t>
      </w:r>
      <w:r w:rsidR="00964104" w:rsidRPr="00EE25D1">
        <w:rPr>
          <w:rFonts w:ascii="Calibri" w:hAnsi="Calibri"/>
          <w:color w:val="000000" w:themeColor="text1"/>
          <w:shd w:val="clear" w:color="auto" w:fill="FFFFFF"/>
        </w:rPr>
        <w:t xml:space="preserve"> vicios de la voluntad</w:t>
      </w:r>
      <w:r w:rsidR="00964104" w:rsidRPr="00EE25D1">
        <w:rPr>
          <w:rStyle w:val="Refdenotaalpie"/>
          <w:rFonts w:ascii="Calibri" w:hAnsi="Calibri"/>
          <w:color w:val="000000" w:themeColor="text1"/>
          <w:shd w:val="clear" w:color="auto" w:fill="FFFFFF"/>
        </w:rPr>
        <w:footnoteReference w:id="32"/>
      </w:r>
      <w:r w:rsidR="00964104" w:rsidRPr="00EE25D1">
        <w:rPr>
          <w:rFonts w:ascii="Calibri" w:hAnsi="Calibri"/>
          <w:color w:val="000000" w:themeColor="text1"/>
          <w:shd w:val="clear" w:color="auto" w:fill="FFFFFF"/>
        </w:rPr>
        <w:t>. La tercera razón por la cual</w:t>
      </w:r>
      <w:r w:rsidR="007043F8" w:rsidRPr="00EE25D1">
        <w:rPr>
          <w:rFonts w:ascii="Calibri" w:hAnsi="Calibri"/>
          <w:color w:val="000000" w:themeColor="text1"/>
          <w:shd w:val="clear" w:color="auto" w:fill="FFFFFF"/>
        </w:rPr>
        <w:t xml:space="preserve"> no es defendible</w:t>
      </w:r>
      <w:r w:rsidR="00964104" w:rsidRPr="00EE25D1">
        <w:rPr>
          <w:rFonts w:ascii="Calibri" w:hAnsi="Calibri"/>
          <w:color w:val="000000" w:themeColor="text1"/>
          <w:shd w:val="clear" w:color="auto" w:fill="FFFFFF"/>
        </w:rPr>
        <w:t>, merced de</w:t>
      </w:r>
      <w:r w:rsidR="007043F8" w:rsidRPr="00EE25D1">
        <w:rPr>
          <w:rFonts w:ascii="Calibri" w:hAnsi="Calibri"/>
          <w:color w:val="000000" w:themeColor="text1"/>
          <w:shd w:val="clear" w:color="auto" w:fill="FFFFFF"/>
        </w:rPr>
        <w:t xml:space="preserve"> la aplic</w:t>
      </w:r>
      <w:r w:rsidR="00964104" w:rsidRPr="00EE25D1">
        <w:rPr>
          <w:rFonts w:ascii="Calibri" w:hAnsi="Calibri"/>
          <w:color w:val="000000" w:themeColor="text1"/>
          <w:shd w:val="clear" w:color="auto" w:fill="FFFFFF"/>
        </w:rPr>
        <w:t xml:space="preserve">ación analógica del </w:t>
      </w:r>
      <w:r w:rsidR="0037190C" w:rsidRPr="00EE25D1">
        <w:rPr>
          <w:rFonts w:ascii="Calibri" w:hAnsi="Calibri"/>
        </w:rPr>
        <w:t>artículo</w:t>
      </w:r>
      <w:r w:rsidR="00964104" w:rsidRPr="00EE25D1">
        <w:rPr>
          <w:rFonts w:ascii="Calibri" w:hAnsi="Calibri"/>
          <w:color w:val="000000" w:themeColor="text1"/>
          <w:shd w:val="clear" w:color="auto" w:fill="FFFFFF"/>
        </w:rPr>
        <w:t xml:space="preserve"> 665</w:t>
      </w:r>
      <w:r w:rsidR="00C71F23" w:rsidRPr="00EE25D1">
        <w:rPr>
          <w:rFonts w:ascii="Calibri" w:hAnsi="Calibri"/>
          <w:color w:val="000000" w:themeColor="text1"/>
          <w:shd w:val="clear" w:color="auto" w:fill="FFFFFF"/>
        </w:rPr>
        <w:t xml:space="preserve"> </w:t>
      </w:r>
      <w:r w:rsidR="00C71F23" w:rsidRPr="00EE25D1">
        <w:rPr>
          <w:rFonts w:ascii="Calibri" w:hAnsi="Calibri"/>
        </w:rPr>
        <w:t>del Código Civil</w:t>
      </w:r>
      <w:r w:rsidR="00964104" w:rsidRPr="00EE25D1">
        <w:rPr>
          <w:rFonts w:ascii="Calibri" w:hAnsi="Calibri"/>
          <w:color w:val="000000" w:themeColor="text1"/>
          <w:shd w:val="clear" w:color="auto" w:fill="FFFFFF"/>
        </w:rPr>
        <w:t>, el apoyo instituc</w:t>
      </w:r>
      <w:r w:rsidR="00311472" w:rsidRPr="00EE25D1">
        <w:rPr>
          <w:rFonts w:ascii="Calibri" w:hAnsi="Calibri"/>
          <w:color w:val="000000" w:themeColor="text1"/>
          <w:shd w:val="clear" w:color="auto" w:fill="FFFFFF"/>
        </w:rPr>
        <w:t>ional</w:t>
      </w:r>
      <w:r w:rsidR="00964104" w:rsidRPr="00EE25D1">
        <w:rPr>
          <w:rFonts w:ascii="Calibri" w:hAnsi="Calibri"/>
          <w:color w:val="000000" w:themeColor="text1"/>
          <w:shd w:val="clear" w:color="auto" w:fill="FFFFFF"/>
        </w:rPr>
        <w:t xml:space="preserve">, gravita en torno a que el Notario no tiene </w:t>
      </w:r>
      <w:r w:rsidR="00C01098" w:rsidRPr="00EE25D1">
        <w:rPr>
          <w:rFonts w:ascii="Calibri" w:hAnsi="Calibri"/>
          <w:color w:val="000000" w:themeColor="text1"/>
          <w:shd w:val="clear" w:color="auto" w:fill="FFFFFF"/>
        </w:rPr>
        <w:t>porqué</w:t>
      </w:r>
      <w:r w:rsidR="00A754A7" w:rsidRPr="00EE25D1">
        <w:rPr>
          <w:rFonts w:ascii="Calibri" w:hAnsi="Calibri"/>
          <w:color w:val="000000" w:themeColor="text1"/>
          <w:shd w:val="clear" w:color="auto" w:fill="FFFFFF"/>
        </w:rPr>
        <w:t xml:space="preserve"> </w:t>
      </w:r>
      <w:r w:rsidR="00964104" w:rsidRPr="00EE25D1">
        <w:rPr>
          <w:rFonts w:ascii="Calibri" w:hAnsi="Calibri"/>
          <w:color w:val="000000" w:themeColor="text1"/>
          <w:shd w:val="clear" w:color="auto" w:fill="FFFFFF"/>
        </w:rPr>
        <w:t>ser</w:t>
      </w:r>
      <w:r w:rsidR="00A754A7" w:rsidRPr="00EE25D1">
        <w:rPr>
          <w:rFonts w:ascii="Calibri" w:hAnsi="Calibri"/>
          <w:color w:val="000000" w:themeColor="text1"/>
          <w:shd w:val="clear" w:color="auto" w:fill="FFFFFF"/>
        </w:rPr>
        <w:t>, necesariamente, la autoridad que tramite el expediente, pudie</w:t>
      </w:r>
      <w:r w:rsidR="00311472" w:rsidRPr="00EE25D1">
        <w:rPr>
          <w:rFonts w:ascii="Calibri" w:hAnsi="Calibri"/>
          <w:color w:val="000000" w:themeColor="text1"/>
          <w:shd w:val="clear" w:color="auto" w:fill="FFFFFF"/>
        </w:rPr>
        <w:t>ndo instruirlo otras autoridades y funcionarios</w:t>
      </w:r>
      <w:r w:rsidR="00A754A7" w:rsidRPr="00EE25D1">
        <w:rPr>
          <w:rFonts w:ascii="Calibri" w:hAnsi="Calibri"/>
          <w:color w:val="000000" w:themeColor="text1"/>
          <w:shd w:val="clear" w:color="auto" w:fill="FFFFFF"/>
        </w:rPr>
        <w:t xml:space="preserve"> entr</w:t>
      </w:r>
      <w:r w:rsidR="00932721" w:rsidRPr="00EE25D1">
        <w:rPr>
          <w:rFonts w:ascii="Calibri" w:hAnsi="Calibri"/>
          <w:color w:val="000000" w:themeColor="text1"/>
          <w:shd w:val="clear" w:color="auto" w:fill="FFFFFF"/>
        </w:rPr>
        <w:t>e cuyas</w:t>
      </w:r>
      <w:r w:rsidR="004B514D" w:rsidRPr="00EE25D1">
        <w:rPr>
          <w:rFonts w:ascii="Calibri" w:hAnsi="Calibri"/>
          <w:color w:val="000000" w:themeColor="text1"/>
          <w:shd w:val="clear" w:color="auto" w:fill="FFFFFF"/>
        </w:rPr>
        <w:t xml:space="preserve"> funciones no se encuentra, ni siquiera vía analógica,</w:t>
      </w:r>
      <w:r w:rsidR="00A754A7" w:rsidRPr="00EE25D1">
        <w:rPr>
          <w:rFonts w:ascii="Calibri" w:hAnsi="Calibri"/>
          <w:color w:val="000000" w:themeColor="text1"/>
          <w:shd w:val="clear" w:color="auto" w:fill="FFFFFF"/>
        </w:rPr>
        <w:t xml:space="preserve"> la de ejercer medidas de apoyo</w:t>
      </w:r>
      <w:r w:rsidR="003048AE" w:rsidRPr="00EE25D1">
        <w:rPr>
          <w:rFonts w:ascii="Calibri" w:hAnsi="Calibri"/>
          <w:color w:val="000000" w:themeColor="text1"/>
          <w:shd w:val="clear" w:color="auto" w:fill="FFFFFF"/>
        </w:rPr>
        <w:t>.</w:t>
      </w:r>
    </w:p>
    <w:p w:rsidR="003048AE" w:rsidRPr="00EE25D1" w:rsidRDefault="003048AE"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Es cierto que el término apoyo es muy amplio, abarcando heterogéneas actuaciones, pudiendo darse el caso de que la mera aportación técnica del Notario ayude al contrayente con discapacidad a hacerse una noción del matrimonio y poder formar una voluntad para el ejercicio del </w:t>
      </w:r>
      <w:r w:rsidRPr="00EE25D1">
        <w:rPr>
          <w:rFonts w:ascii="Calibri" w:hAnsi="Calibri"/>
          <w:i/>
          <w:color w:val="000000" w:themeColor="text1"/>
          <w:shd w:val="clear" w:color="auto" w:fill="FFFFFF"/>
        </w:rPr>
        <w:t>ius nubendi</w:t>
      </w:r>
      <w:r w:rsidRPr="00EE25D1">
        <w:rPr>
          <w:rFonts w:ascii="Calibri" w:hAnsi="Calibri"/>
          <w:color w:val="000000" w:themeColor="text1"/>
          <w:shd w:val="clear" w:color="auto" w:fill="FFFFFF"/>
        </w:rPr>
        <w:t>. En tal caso, debatir sobre el devenir del apoyo cuando el contrayente carece de medidas judiciales, voluntarias o informales de apoyo carece de razón de ser con</w:t>
      </w:r>
      <w:r w:rsidR="00311472" w:rsidRPr="00EE25D1">
        <w:rPr>
          <w:rFonts w:ascii="Calibri" w:hAnsi="Calibri"/>
          <w:color w:val="000000" w:themeColor="text1"/>
          <w:shd w:val="clear" w:color="auto" w:fill="FFFFFF"/>
        </w:rPr>
        <w:t xml:space="preserve">forme al principio de necesidad, toda vez que no se pueden establecer medidas más allá de las necesarias para las personas con discapacidad. </w:t>
      </w:r>
      <w:r w:rsidRPr="00EE25D1">
        <w:rPr>
          <w:rFonts w:ascii="Calibri" w:hAnsi="Calibri"/>
          <w:color w:val="000000" w:themeColor="text1"/>
          <w:shd w:val="clear" w:color="auto" w:fill="FFFFFF"/>
        </w:rPr>
        <w:t xml:space="preserve">Pero habrá casos donde, a pesar de la ayuda técnica del Notario, este dude de </w:t>
      </w:r>
      <w:r w:rsidR="00311472" w:rsidRPr="00EE25D1">
        <w:rPr>
          <w:rFonts w:ascii="Calibri" w:hAnsi="Calibri"/>
          <w:color w:val="000000" w:themeColor="text1"/>
          <w:shd w:val="clear" w:color="auto" w:fill="FFFFFF"/>
        </w:rPr>
        <w:t>las facultades del contrayente</w:t>
      </w:r>
      <w:r w:rsidRPr="00EE25D1">
        <w:rPr>
          <w:rFonts w:ascii="Calibri" w:hAnsi="Calibri"/>
          <w:color w:val="000000" w:themeColor="text1"/>
          <w:shd w:val="clear" w:color="auto" w:fill="FFFFFF"/>
        </w:rPr>
        <w:t xml:space="preserve"> para prestar el consentimiento. A nuestro juicio, antes de solicitar el dictamen médico, el encargado deberá efectuar cuantas diligencias sean necesarias para que el contrayente con discapacidad posea en el expediente matrimonial alguna medida de apoyo es el sent</w:t>
      </w:r>
      <w:r w:rsidR="004B514D" w:rsidRPr="00EE25D1">
        <w:rPr>
          <w:rFonts w:ascii="Calibri" w:hAnsi="Calibri"/>
          <w:color w:val="000000" w:themeColor="text1"/>
          <w:shd w:val="clear" w:color="auto" w:fill="FFFFFF"/>
        </w:rPr>
        <w:t>ido genuino del término. Si tras dicha diligencia y la intervención del apoyo</w:t>
      </w:r>
      <w:r w:rsidRPr="00EE25D1">
        <w:rPr>
          <w:rFonts w:ascii="Calibri" w:hAnsi="Calibri"/>
          <w:color w:val="000000" w:themeColor="text1"/>
          <w:shd w:val="clear" w:color="auto" w:fill="FFFFFF"/>
        </w:rPr>
        <w:t xml:space="preserve"> el encargado considera que el contrayente no puede prestar el consentimiento matrimonial, pese a las medidas de apoyo solicitadas, </w:t>
      </w:r>
      <w:r w:rsidR="007949B4" w:rsidRPr="00EE25D1">
        <w:rPr>
          <w:rFonts w:ascii="Calibri" w:hAnsi="Calibri"/>
          <w:color w:val="000000" w:themeColor="text1"/>
          <w:shd w:val="clear" w:color="auto" w:fill="FFFFFF"/>
        </w:rPr>
        <w:t>será cuando podrá recabar el dictamen médico. A nuestro juicio, desvirtuarí</w:t>
      </w:r>
      <w:r w:rsidR="00C71F23" w:rsidRPr="00EE25D1">
        <w:rPr>
          <w:rFonts w:ascii="Calibri" w:hAnsi="Calibri"/>
          <w:color w:val="000000" w:themeColor="text1"/>
          <w:shd w:val="clear" w:color="auto" w:fill="FFFFFF"/>
        </w:rPr>
        <w:t xml:space="preserve">a el contenido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7949B4" w:rsidRPr="00EE25D1">
        <w:rPr>
          <w:rFonts w:ascii="Calibri" w:hAnsi="Calibri"/>
          <w:color w:val="000000" w:themeColor="text1"/>
          <w:shd w:val="clear" w:color="auto" w:fill="FFFFFF"/>
        </w:rPr>
        <w:t xml:space="preserve"> aquellas prácticas en la</w:t>
      </w:r>
      <w:r w:rsidR="00932721" w:rsidRPr="00EE25D1">
        <w:rPr>
          <w:rFonts w:ascii="Calibri" w:hAnsi="Calibri"/>
          <w:color w:val="000000" w:themeColor="text1"/>
          <w:shd w:val="clear" w:color="auto" w:fill="FFFFFF"/>
        </w:rPr>
        <w:t>s</w:t>
      </w:r>
      <w:r w:rsidR="007949B4" w:rsidRPr="00EE25D1">
        <w:rPr>
          <w:rFonts w:ascii="Calibri" w:hAnsi="Calibri"/>
          <w:color w:val="000000" w:themeColor="text1"/>
          <w:shd w:val="clear" w:color="auto" w:fill="FFFFFF"/>
        </w:rPr>
        <w:t xml:space="preserve"> que el encargado, ante la presencia en el expediente de un contrayente con discapacidad desprovisto de apoyo, recabe directamente el dictamen médico </w:t>
      </w:r>
      <w:r w:rsidR="004B514D" w:rsidRPr="00EE25D1">
        <w:rPr>
          <w:rFonts w:ascii="Calibri" w:hAnsi="Calibri"/>
          <w:color w:val="000000" w:themeColor="text1"/>
          <w:shd w:val="clear" w:color="auto" w:fill="FFFFFF"/>
        </w:rPr>
        <w:t>esgrimiendo</w:t>
      </w:r>
      <w:r w:rsidR="007949B4" w:rsidRPr="00EE25D1">
        <w:rPr>
          <w:rFonts w:ascii="Calibri" w:hAnsi="Calibri"/>
          <w:color w:val="000000" w:themeColor="text1"/>
          <w:shd w:val="clear" w:color="auto" w:fill="FFFFFF"/>
        </w:rPr>
        <w:t xml:space="preserve"> que el mismo ha tratado de ayudar al interesado y pese a la ayuda ha llegado a la conclusión de que no tiene las facultades suficientes para conformar su voluntad en orden al matrimonio</w:t>
      </w:r>
      <w:r w:rsidR="00311472" w:rsidRPr="00EE25D1">
        <w:rPr>
          <w:rFonts w:ascii="Calibri" w:hAnsi="Calibri"/>
          <w:color w:val="000000" w:themeColor="text1"/>
          <w:shd w:val="clear" w:color="auto" w:fill="FFFFFF"/>
        </w:rPr>
        <w:t>.</w:t>
      </w:r>
    </w:p>
    <w:p w:rsidR="00082867" w:rsidRPr="00EE25D1" w:rsidRDefault="002C533F"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Por tanto, descartada la posibilidad de que el encargado del expediente matrimonial dispense</w:t>
      </w:r>
      <w:r w:rsidR="00C246FC" w:rsidRPr="00EE25D1">
        <w:rPr>
          <w:rFonts w:ascii="Calibri" w:hAnsi="Calibri"/>
          <w:color w:val="000000" w:themeColor="text1"/>
          <w:shd w:val="clear" w:color="auto" w:fill="FFFFFF"/>
        </w:rPr>
        <w:t xml:space="preserve"> personalmente</w:t>
      </w:r>
      <w:r w:rsidR="004B514D" w:rsidRPr="00EE25D1">
        <w:rPr>
          <w:rFonts w:ascii="Calibri" w:hAnsi="Calibri"/>
          <w:color w:val="000000" w:themeColor="text1"/>
          <w:shd w:val="clear" w:color="auto" w:fill="FFFFFF"/>
        </w:rPr>
        <w:t xml:space="preserve"> </w:t>
      </w:r>
      <w:r w:rsidR="00311472" w:rsidRPr="00EE25D1">
        <w:rPr>
          <w:rFonts w:ascii="Calibri" w:hAnsi="Calibri"/>
          <w:color w:val="000000" w:themeColor="text1"/>
          <w:shd w:val="clear" w:color="auto" w:fill="FFFFFF"/>
        </w:rPr>
        <w:t xml:space="preserve">el </w:t>
      </w:r>
      <w:r w:rsidR="004B514D" w:rsidRPr="00EE25D1">
        <w:rPr>
          <w:rFonts w:ascii="Calibri" w:hAnsi="Calibri"/>
          <w:color w:val="000000" w:themeColor="text1"/>
          <w:shd w:val="clear" w:color="auto" w:fill="FFFFFF"/>
        </w:rPr>
        <w:t>apoyo</w:t>
      </w:r>
      <w:r w:rsidRPr="00EE25D1">
        <w:rPr>
          <w:rFonts w:ascii="Calibri" w:hAnsi="Calibri"/>
          <w:color w:val="000000" w:themeColor="text1"/>
          <w:shd w:val="clear" w:color="auto" w:fill="FFFFFF"/>
        </w:rPr>
        <w:t xml:space="preserve"> cuando el contrayente con discapacidad carezca </w:t>
      </w:r>
      <w:r w:rsidR="004B514D" w:rsidRPr="00EE25D1">
        <w:rPr>
          <w:rFonts w:ascii="Calibri" w:hAnsi="Calibri"/>
          <w:color w:val="000000" w:themeColor="text1"/>
          <w:shd w:val="clear" w:color="auto" w:fill="FFFFFF"/>
        </w:rPr>
        <w:t>del mismo</w:t>
      </w:r>
      <w:r w:rsidR="000A7144" w:rsidRPr="00EE25D1">
        <w:rPr>
          <w:rFonts w:ascii="Calibri" w:hAnsi="Calibri"/>
          <w:color w:val="000000" w:themeColor="text1"/>
          <w:shd w:val="clear" w:color="auto" w:fill="FFFFFF"/>
        </w:rPr>
        <w:t xml:space="preserve">, </w:t>
      </w:r>
      <w:r w:rsidR="00477905" w:rsidRPr="00EE25D1">
        <w:rPr>
          <w:rFonts w:ascii="Calibri" w:hAnsi="Calibri"/>
          <w:color w:val="000000" w:themeColor="text1"/>
          <w:shd w:val="clear" w:color="auto" w:fill="FFFFFF"/>
        </w:rPr>
        <w:t>cabe visualizar</w:t>
      </w:r>
      <w:r w:rsidR="008E0227" w:rsidRPr="00EE25D1">
        <w:rPr>
          <w:rFonts w:ascii="Calibri" w:hAnsi="Calibri"/>
          <w:color w:val="000000" w:themeColor="text1"/>
          <w:shd w:val="clear" w:color="auto" w:fill="FFFFFF"/>
        </w:rPr>
        <w:t xml:space="preserve"> varias opciones: </w:t>
      </w:r>
      <w:r w:rsidR="00C246FC" w:rsidRPr="00EE25D1">
        <w:rPr>
          <w:rFonts w:ascii="Calibri" w:hAnsi="Calibri"/>
          <w:color w:val="000000" w:themeColor="text1"/>
          <w:shd w:val="clear" w:color="auto" w:fill="FFFFFF"/>
        </w:rPr>
        <w:t>La primera sería que el encargado del acta matrimonial suspenda el ex</w:t>
      </w:r>
      <w:r w:rsidR="005051BC" w:rsidRPr="00EE25D1">
        <w:rPr>
          <w:rFonts w:ascii="Calibri" w:hAnsi="Calibri"/>
          <w:color w:val="000000" w:themeColor="text1"/>
          <w:shd w:val="clear" w:color="auto" w:fill="FFFFFF"/>
        </w:rPr>
        <w:t>pediente, en virtud de los artículos</w:t>
      </w:r>
      <w:r w:rsidR="00C246FC" w:rsidRPr="00EE25D1">
        <w:rPr>
          <w:rFonts w:ascii="Calibri" w:hAnsi="Calibri"/>
          <w:color w:val="000000" w:themeColor="text1"/>
          <w:shd w:val="clear" w:color="auto" w:fill="FFFFFF"/>
        </w:rPr>
        <w:t xml:space="preserve"> 22.2 letra b) y 87 de la </w:t>
      </w:r>
      <w:r w:rsidR="000A7144" w:rsidRPr="00EE25D1">
        <w:rPr>
          <w:rFonts w:ascii="Calibri" w:hAnsi="Calibri"/>
          <w:color w:val="000000" w:themeColor="text1"/>
          <w:shd w:val="clear" w:color="auto" w:fill="FFFFFF"/>
        </w:rPr>
        <w:t>Ley 39/2015, de 1 de octubre, del Procedimiento Administrativo Común de las Administraciones Públicas (LPACAP), aplicables por mor de la Disposición final primera de la LRC, que consagra la apl</w:t>
      </w:r>
      <w:r w:rsidR="001C4D9A" w:rsidRPr="00EE25D1">
        <w:rPr>
          <w:rFonts w:ascii="Calibri" w:hAnsi="Calibri"/>
          <w:color w:val="000000" w:themeColor="text1"/>
          <w:shd w:val="clear" w:color="auto" w:fill="FFFFFF"/>
        </w:rPr>
        <w:t xml:space="preserve">icación supletoria de la LPACAP, y ponga los hechos en conocimiento del Ministerio Fiscal en aras de la incoación de un expediente de provisión </w:t>
      </w:r>
      <w:r w:rsidR="00311472" w:rsidRPr="00EE25D1">
        <w:rPr>
          <w:rFonts w:ascii="Calibri" w:hAnsi="Calibri"/>
          <w:color w:val="000000" w:themeColor="text1"/>
          <w:shd w:val="clear" w:color="auto" w:fill="FFFFFF"/>
        </w:rPr>
        <w:t>de medidas judiciales de apoyo [</w:t>
      </w:r>
      <w:r w:rsidR="0037190C" w:rsidRPr="00EE25D1">
        <w:rPr>
          <w:rFonts w:ascii="Calibri" w:hAnsi="Calibri"/>
        </w:rPr>
        <w:t>artículo</w:t>
      </w:r>
      <w:r w:rsidR="00311472" w:rsidRPr="00EE25D1">
        <w:rPr>
          <w:rFonts w:ascii="Calibri" w:hAnsi="Calibri"/>
          <w:color w:val="000000" w:themeColor="text1"/>
          <w:shd w:val="clear" w:color="auto" w:fill="FFFFFF"/>
        </w:rPr>
        <w:t xml:space="preserve"> 42 bis a).3]</w:t>
      </w:r>
      <w:r w:rsidR="001C4D9A" w:rsidRPr="00EE25D1">
        <w:rPr>
          <w:rFonts w:ascii="Calibri" w:hAnsi="Calibri"/>
          <w:color w:val="000000" w:themeColor="text1"/>
          <w:shd w:val="clear" w:color="auto" w:fill="FFFFFF"/>
        </w:rPr>
        <w:t xml:space="preserve">. </w:t>
      </w:r>
      <w:r w:rsidR="000A7144" w:rsidRPr="00EE25D1">
        <w:rPr>
          <w:rFonts w:ascii="Calibri" w:hAnsi="Calibri"/>
          <w:color w:val="000000" w:themeColor="text1"/>
          <w:shd w:val="clear" w:color="auto" w:fill="FFFFFF"/>
        </w:rPr>
        <w:t xml:space="preserve">La segunda consistiría en suspender el expediente y proponer el nombramiento de un defensor judicial </w:t>
      </w:r>
      <w:r w:rsidR="000A7144" w:rsidRPr="00EE25D1">
        <w:rPr>
          <w:rFonts w:ascii="Calibri" w:hAnsi="Calibri"/>
          <w:i/>
          <w:color w:val="000000" w:themeColor="text1"/>
          <w:shd w:val="clear" w:color="auto" w:fill="FFFFFF"/>
        </w:rPr>
        <w:t xml:space="preserve">ex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295.5º </w:t>
      </w:r>
      <w:r w:rsidR="00C71F23" w:rsidRPr="00EE25D1">
        <w:rPr>
          <w:rFonts w:ascii="Calibri" w:hAnsi="Calibri"/>
        </w:rPr>
        <w:t>del Código Civil</w:t>
      </w:r>
      <w:r w:rsidR="000A7144" w:rsidRPr="00EE25D1">
        <w:rPr>
          <w:rFonts w:ascii="Calibri" w:hAnsi="Calibri"/>
          <w:color w:val="000000" w:themeColor="text1"/>
          <w:shd w:val="clear" w:color="auto" w:fill="FFFFFF"/>
        </w:rPr>
        <w:t xml:space="preserve">. La tercera </w:t>
      </w:r>
      <w:r w:rsidR="00C172F4" w:rsidRPr="00EE25D1">
        <w:rPr>
          <w:rFonts w:ascii="Calibri" w:hAnsi="Calibri"/>
          <w:color w:val="000000" w:themeColor="text1"/>
          <w:shd w:val="clear" w:color="auto" w:fill="FFFFFF"/>
        </w:rPr>
        <w:t xml:space="preserve">se basaría </w:t>
      </w:r>
      <w:r w:rsidR="000A7144" w:rsidRPr="00EE25D1">
        <w:rPr>
          <w:rFonts w:ascii="Calibri" w:hAnsi="Calibri"/>
          <w:color w:val="000000" w:themeColor="text1"/>
          <w:shd w:val="clear" w:color="auto" w:fill="FFFFFF"/>
        </w:rPr>
        <w:t>en dar audiencia a los parientes o personas allegadas de la persona con discapacidad psíqui</w:t>
      </w:r>
      <w:r w:rsidR="001C4D9A" w:rsidRPr="00EE25D1">
        <w:rPr>
          <w:rFonts w:ascii="Calibri" w:hAnsi="Calibri"/>
          <w:color w:val="000000" w:themeColor="text1"/>
          <w:shd w:val="clear" w:color="auto" w:fill="FFFFFF"/>
        </w:rPr>
        <w:t>ca a fin de que le presten un apoyo puntual</w:t>
      </w:r>
      <w:r w:rsidR="000A7144" w:rsidRPr="00EE25D1">
        <w:rPr>
          <w:rFonts w:ascii="Calibri" w:hAnsi="Calibri"/>
          <w:color w:val="000000" w:themeColor="text1"/>
          <w:shd w:val="clear" w:color="auto" w:fill="FFFFFF"/>
        </w:rPr>
        <w:t>, únic</w:t>
      </w:r>
      <w:r w:rsidR="000C0416" w:rsidRPr="00EE25D1">
        <w:rPr>
          <w:rFonts w:ascii="Calibri" w:hAnsi="Calibri"/>
          <w:color w:val="000000" w:themeColor="text1"/>
          <w:shd w:val="clear" w:color="auto" w:fill="FFFFFF"/>
        </w:rPr>
        <w:t xml:space="preserve">amente, en el contexto del </w:t>
      </w:r>
      <w:r w:rsidR="000C0416" w:rsidRPr="00EE25D1">
        <w:rPr>
          <w:rFonts w:ascii="Calibri" w:hAnsi="Calibri"/>
        </w:rPr>
        <w:t>artículo</w:t>
      </w:r>
      <w:r w:rsidR="000C0416" w:rsidRPr="00EE25D1">
        <w:rPr>
          <w:rFonts w:ascii="Calibri" w:hAnsi="Calibri"/>
          <w:color w:val="000000" w:themeColor="text1"/>
          <w:shd w:val="clear" w:color="auto" w:fill="FFFFFF"/>
        </w:rPr>
        <w:t xml:space="preserve"> </w:t>
      </w:r>
      <w:r w:rsidR="007C59F8" w:rsidRPr="00EE25D1">
        <w:rPr>
          <w:rFonts w:ascii="Calibri" w:hAnsi="Calibri"/>
          <w:color w:val="000000" w:themeColor="text1"/>
          <w:shd w:val="clear" w:color="auto" w:fill="FFFFFF"/>
        </w:rPr>
        <w:t>56 CC (posibilidad que tendría</w:t>
      </w:r>
      <w:r w:rsidR="008643B2" w:rsidRPr="00EE25D1">
        <w:rPr>
          <w:rFonts w:ascii="Calibri" w:hAnsi="Calibri"/>
          <w:color w:val="000000" w:themeColor="text1"/>
          <w:shd w:val="clear" w:color="auto" w:fill="FFFFFF"/>
        </w:rPr>
        <w:t>, parcialmente, una</w:t>
      </w:r>
      <w:r w:rsidR="007C59F8" w:rsidRPr="00EE25D1">
        <w:rPr>
          <w:rFonts w:ascii="Calibri" w:hAnsi="Calibri"/>
          <w:color w:val="000000" w:themeColor="text1"/>
          <w:shd w:val="clear" w:color="auto" w:fill="FFFFFF"/>
        </w:rPr>
        <w:t xml:space="preserve"> apoyatura legal en el </w:t>
      </w:r>
      <w:r w:rsidR="0037190C" w:rsidRPr="00EE25D1">
        <w:rPr>
          <w:rFonts w:ascii="Calibri" w:hAnsi="Calibri"/>
        </w:rPr>
        <w:t>artículo</w:t>
      </w:r>
      <w:r w:rsidR="007C59F8" w:rsidRPr="00EE25D1">
        <w:rPr>
          <w:rFonts w:ascii="Calibri" w:hAnsi="Calibri"/>
          <w:color w:val="000000" w:themeColor="text1"/>
          <w:shd w:val="clear" w:color="auto" w:fill="FFFFFF"/>
        </w:rPr>
        <w:t xml:space="preserve"> 58.</w:t>
      </w:r>
      <w:r w:rsidR="001C4D9A" w:rsidRPr="00EE25D1">
        <w:rPr>
          <w:rFonts w:ascii="Calibri" w:hAnsi="Calibri"/>
          <w:color w:val="000000" w:themeColor="text1"/>
          <w:shd w:val="clear" w:color="auto" w:fill="FFFFFF"/>
        </w:rPr>
        <w:t xml:space="preserve">5 LRC). Por último, tendríamos la opción </w:t>
      </w:r>
      <w:r w:rsidR="00C71F23" w:rsidRPr="00EE25D1">
        <w:rPr>
          <w:rFonts w:ascii="Calibri" w:hAnsi="Calibri"/>
          <w:color w:val="000000" w:themeColor="text1"/>
          <w:shd w:val="clear" w:color="auto" w:fill="FFFFFF"/>
        </w:rPr>
        <w:t xml:space="preserve">contemplada en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253 </w:t>
      </w:r>
      <w:r w:rsidR="00C71F23" w:rsidRPr="00EE25D1">
        <w:rPr>
          <w:rFonts w:ascii="Calibri" w:hAnsi="Calibri"/>
        </w:rPr>
        <w:t>del Código Civil</w:t>
      </w:r>
      <w:r w:rsidR="007C59F8" w:rsidRPr="00EE25D1">
        <w:rPr>
          <w:rFonts w:ascii="Calibri" w:hAnsi="Calibri"/>
          <w:color w:val="000000" w:themeColor="text1"/>
          <w:shd w:val="clear" w:color="auto" w:fill="FFFFFF"/>
        </w:rPr>
        <w:t>, que prevé que, en caso de urgencia y en defecto de guardado</w:t>
      </w:r>
      <w:r w:rsidR="004B514D" w:rsidRPr="00EE25D1">
        <w:rPr>
          <w:rFonts w:ascii="Calibri" w:hAnsi="Calibri"/>
          <w:color w:val="000000" w:themeColor="text1"/>
          <w:shd w:val="clear" w:color="auto" w:fill="FFFFFF"/>
        </w:rPr>
        <w:t>r de hecho, el apoyo se preste</w:t>
      </w:r>
      <w:r w:rsidR="007C59F8" w:rsidRPr="00EE25D1">
        <w:rPr>
          <w:rFonts w:ascii="Calibri" w:hAnsi="Calibri"/>
          <w:color w:val="000000" w:themeColor="text1"/>
          <w:shd w:val="clear" w:color="auto" w:fill="FFFFFF"/>
        </w:rPr>
        <w:t xml:space="preserve"> provisionalmente por la entidad pública que tenga enc</w:t>
      </w:r>
      <w:r w:rsidR="00311472" w:rsidRPr="00EE25D1">
        <w:rPr>
          <w:rFonts w:ascii="Calibri" w:hAnsi="Calibri"/>
          <w:color w:val="000000" w:themeColor="text1"/>
          <w:shd w:val="clear" w:color="auto" w:fill="FFFFFF"/>
        </w:rPr>
        <w:t>omendada la provisión de apoyo</w:t>
      </w:r>
      <w:r w:rsidR="007C59F8" w:rsidRPr="00EE25D1">
        <w:rPr>
          <w:rFonts w:ascii="Calibri" w:hAnsi="Calibri"/>
          <w:color w:val="000000" w:themeColor="text1"/>
          <w:shd w:val="clear" w:color="auto" w:fill="FFFFFF"/>
        </w:rPr>
        <w:t xml:space="preserve"> en el respectivo territorio</w:t>
      </w:r>
      <w:r w:rsidR="00304C7F" w:rsidRPr="00EE25D1">
        <w:rPr>
          <w:rFonts w:ascii="Calibri" w:hAnsi="Calibri"/>
          <w:color w:val="000000" w:themeColor="text1"/>
          <w:shd w:val="clear" w:color="auto" w:fill="FFFFFF"/>
        </w:rPr>
        <w:t xml:space="preserve"> (previsión análoga a la ideada</w:t>
      </w:r>
      <w:r w:rsidR="00C71F23" w:rsidRPr="00EE25D1">
        <w:rPr>
          <w:rFonts w:ascii="Calibri" w:hAnsi="Calibri"/>
          <w:color w:val="000000" w:themeColor="text1"/>
          <w:shd w:val="clear" w:color="auto" w:fill="FFFFFF"/>
        </w:rPr>
        <w:t xml:space="preserve"> por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304C7F" w:rsidRPr="00EE25D1">
        <w:rPr>
          <w:rFonts w:ascii="Calibri" w:hAnsi="Calibri"/>
          <w:color w:val="000000" w:themeColor="text1"/>
          <w:shd w:val="clear" w:color="auto" w:fill="FFFFFF"/>
        </w:rPr>
        <w:t xml:space="preserve"> para las personas con discapacidad física o sensorial que pretendan contraer matrimonio y tengan obstáculos a la hora de exteriorizar su voluntad)</w:t>
      </w:r>
      <w:r w:rsidR="004B514D" w:rsidRPr="00EE25D1">
        <w:rPr>
          <w:rFonts w:ascii="Calibri" w:hAnsi="Calibri"/>
          <w:color w:val="000000" w:themeColor="text1"/>
          <w:shd w:val="clear" w:color="auto" w:fill="FFFFFF"/>
        </w:rPr>
        <w:t xml:space="preserve">. </w:t>
      </w:r>
      <w:r w:rsidR="008643B2" w:rsidRPr="00EE25D1">
        <w:rPr>
          <w:rFonts w:ascii="Calibri" w:hAnsi="Calibri"/>
          <w:color w:val="000000" w:themeColor="text1"/>
          <w:shd w:val="clear" w:color="auto" w:fill="FFFFFF"/>
        </w:rPr>
        <w:t xml:space="preserve">Como cada propuesta alberga sus inconvenientes, aquí nos decantaremos por la </w:t>
      </w:r>
      <w:r w:rsidR="00932721" w:rsidRPr="00EE25D1">
        <w:rPr>
          <w:rFonts w:ascii="Calibri" w:hAnsi="Calibri"/>
          <w:color w:val="000000" w:themeColor="text1"/>
          <w:shd w:val="clear" w:color="auto" w:fill="FFFFFF"/>
        </w:rPr>
        <w:t>que estimamos más loable</w:t>
      </w:r>
      <w:r w:rsidR="008643B2" w:rsidRPr="00EE25D1">
        <w:rPr>
          <w:rFonts w:ascii="Calibri" w:hAnsi="Calibri"/>
          <w:color w:val="000000" w:themeColor="text1"/>
          <w:shd w:val="clear" w:color="auto" w:fill="FFFFFF"/>
        </w:rPr>
        <w:t xml:space="preserve">. </w:t>
      </w:r>
    </w:p>
    <w:p w:rsidR="00ED5E34" w:rsidRPr="00EE25D1" w:rsidRDefault="008643B2"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La primera, que conllevaría la suspensión del expediente matrimonial y la incoación de otro procedimiento</w:t>
      </w:r>
      <w:r w:rsidR="004B514D" w:rsidRPr="00EE25D1">
        <w:rPr>
          <w:rFonts w:ascii="Calibri" w:hAnsi="Calibri"/>
          <w:color w:val="000000" w:themeColor="text1"/>
          <w:shd w:val="clear" w:color="auto" w:fill="FFFFFF"/>
        </w:rPr>
        <w:t xml:space="preserve"> de provisión de medidas de apoyo</w:t>
      </w:r>
      <w:r w:rsidRPr="00EE25D1">
        <w:rPr>
          <w:rFonts w:ascii="Calibri" w:hAnsi="Calibri"/>
          <w:color w:val="000000" w:themeColor="text1"/>
          <w:shd w:val="clear" w:color="auto" w:fill="FFFFFF"/>
        </w:rPr>
        <w:t xml:space="preserve">, podría vislumbrarse lesiva y desproporcionada para la persona con discapacidad, más si atendemos a la saturación crónica de la administración de justicia, pues el contrayente vería como el futuro matrimonio se demora </w:t>
      </w:r>
      <w:r w:rsidRPr="00EE25D1">
        <w:rPr>
          <w:rFonts w:ascii="Calibri" w:hAnsi="Calibri"/>
          <w:i/>
          <w:color w:val="000000" w:themeColor="text1"/>
          <w:shd w:val="clear" w:color="auto" w:fill="FFFFFF"/>
        </w:rPr>
        <w:t>sine die</w:t>
      </w:r>
      <w:r w:rsidRPr="00EE25D1">
        <w:rPr>
          <w:rFonts w:ascii="Calibri" w:hAnsi="Calibri"/>
          <w:color w:val="000000" w:themeColor="text1"/>
          <w:shd w:val="clear" w:color="auto" w:fill="FFFFFF"/>
        </w:rPr>
        <w:t>, pudiendo haber otras medidas que, con más mayor</w:t>
      </w:r>
      <w:r w:rsidR="00A94FC3" w:rsidRPr="00EE25D1">
        <w:rPr>
          <w:rFonts w:ascii="Calibri" w:hAnsi="Calibri"/>
          <w:color w:val="000000" w:themeColor="text1"/>
          <w:shd w:val="clear" w:color="auto" w:fill="FFFFFF"/>
        </w:rPr>
        <w:t xml:space="preserve"> celeridad y</w:t>
      </w:r>
      <w:r w:rsidRPr="00EE25D1">
        <w:rPr>
          <w:rFonts w:ascii="Calibri" w:hAnsi="Calibri"/>
          <w:color w:val="000000" w:themeColor="text1"/>
          <w:shd w:val="clear" w:color="auto" w:fill="FFFFFF"/>
        </w:rPr>
        <w:t xml:space="preserve"> prontitud, pueda</w:t>
      </w:r>
      <w:r w:rsidR="00A8195A" w:rsidRPr="00EE25D1">
        <w:rPr>
          <w:rFonts w:ascii="Calibri" w:hAnsi="Calibri"/>
          <w:color w:val="000000" w:themeColor="text1"/>
          <w:shd w:val="clear" w:color="auto" w:fill="FFFFFF"/>
        </w:rPr>
        <w:t>n</w:t>
      </w:r>
      <w:r w:rsidRPr="00EE25D1">
        <w:rPr>
          <w:rFonts w:ascii="Calibri" w:hAnsi="Calibri"/>
          <w:color w:val="000000" w:themeColor="text1"/>
          <w:shd w:val="clear" w:color="auto" w:fill="FFFFFF"/>
        </w:rPr>
        <w:t xml:space="preserve"> cumplir la misma función que prestaría el curador</w:t>
      </w:r>
      <w:r w:rsidR="00306A0C" w:rsidRPr="00EE25D1">
        <w:rPr>
          <w:rFonts w:ascii="Calibri" w:hAnsi="Calibri"/>
          <w:color w:val="000000" w:themeColor="text1"/>
          <w:shd w:val="clear" w:color="auto" w:fill="FFFFFF"/>
        </w:rPr>
        <w:t xml:space="preserve"> en el expediente matrimonial</w:t>
      </w:r>
      <w:r w:rsidRPr="00EE25D1">
        <w:rPr>
          <w:rFonts w:ascii="Calibri" w:hAnsi="Calibri"/>
          <w:color w:val="000000" w:themeColor="text1"/>
          <w:shd w:val="clear" w:color="auto" w:fill="FFFFFF"/>
        </w:rPr>
        <w:t>. La segunda opción sería acreedora de las mismas desventajas, toda vez que el nombramiento de un defensor judicial conllevaría la incoación de un proceso de jurisdicción voluntaria</w:t>
      </w:r>
      <w:r w:rsidR="00A94FC3" w:rsidRPr="00EE25D1">
        <w:rPr>
          <w:rFonts w:ascii="Calibri" w:hAnsi="Calibri"/>
          <w:color w:val="000000" w:themeColor="text1"/>
          <w:shd w:val="clear" w:color="auto" w:fill="FFFFFF"/>
        </w:rPr>
        <w:t xml:space="preserve"> con la correlativa</w:t>
      </w:r>
      <w:r w:rsidR="00932721" w:rsidRPr="00EE25D1">
        <w:rPr>
          <w:rFonts w:ascii="Calibri" w:hAnsi="Calibri"/>
          <w:color w:val="000000" w:themeColor="text1"/>
          <w:shd w:val="clear" w:color="auto" w:fill="FFFFFF"/>
        </w:rPr>
        <w:t xml:space="preserve"> </w:t>
      </w:r>
      <w:r w:rsidR="00A94FC3" w:rsidRPr="00EE25D1">
        <w:rPr>
          <w:rFonts w:ascii="Calibri" w:hAnsi="Calibri"/>
          <w:color w:val="000000" w:themeColor="text1"/>
          <w:shd w:val="clear" w:color="auto" w:fill="FFFFFF"/>
        </w:rPr>
        <w:t>suspensión del expediente matrimonial</w:t>
      </w:r>
      <w:r w:rsidRPr="00EE25D1">
        <w:rPr>
          <w:rFonts w:ascii="Calibri" w:hAnsi="Calibri"/>
          <w:color w:val="000000" w:themeColor="text1"/>
          <w:shd w:val="clear" w:color="auto" w:fill="FFFFFF"/>
        </w:rPr>
        <w:t>.</w:t>
      </w:r>
      <w:r w:rsidR="00082867"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La tercera albergaría</w:t>
      </w:r>
      <w:r w:rsidR="00A8195A" w:rsidRPr="00EE25D1">
        <w:rPr>
          <w:rFonts w:ascii="Calibri" w:hAnsi="Calibri"/>
          <w:color w:val="000000" w:themeColor="text1"/>
          <w:shd w:val="clear" w:color="auto" w:fill="FFFFFF"/>
        </w:rPr>
        <w:t>, salvo alguna excepción,</w:t>
      </w:r>
      <w:r w:rsidRPr="00EE25D1">
        <w:rPr>
          <w:rFonts w:ascii="Calibri" w:hAnsi="Calibri"/>
          <w:color w:val="000000" w:themeColor="text1"/>
          <w:shd w:val="clear" w:color="auto" w:fill="FFFFFF"/>
        </w:rPr>
        <w:t xml:space="preserve"> una contradicción ontológica; si los parientes o allegados del contrayente con discapacidad dan apoyo a e</w:t>
      </w:r>
      <w:r w:rsidR="00C71F23" w:rsidRPr="00EE25D1">
        <w:rPr>
          <w:rFonts w:ascii="Calibri" w:hAnsi="Calibri"/>
          <w:color w:val="000000" w:themeColor="text1"/>
          <w:shd w:val="clear" w:color="auto" w:fill="FFFFFF"/>
        </w:rPr>
        <w:t xml:space="preserve">ste en el ámbito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007949B4" w:rsidRPr="00EE25D1">
        <w:rPr>
          <w:rFonts w:ascii="Calibri" w:hAnsi="Calibri"/>
          <w:color w:val="000000" w:themeColor="text1"/>
          <w:shd w:val="clear" w:color="auto" w:fill="FFFFFF"/>
        </w:rPr>
        <w:t>,</w:t>
      </w:r>
      <w:r w:rsidR="00311472" w:rsidRPr="00EE25D1">
        <w:rPr>
          <w:rFonts w:ascii="Calibri" w:hAnsi="Calibri"/>
          <w:color w:val="000000" w:themeColor="text1"/>
          <w:shd w:val="clear" w:color="auto" w:fill="FFFFFF"/>
        </w:rPr>
        <w:t xml:space="preserve"> compareciendo a instancia del instructor y no del contrayente con discapacidad, </w:t>
      </w:r>
      <w:r w:rsidR="00B26FC8" w:rsidRPr="00EE25D1">
        <w:rPr>
          <w:rFonts w:ascii="Calibri" w:hAnsi="Calibri"/>
          <w:color w:val="000000" w:themeColor="text1"/>
          <w:shd w:val="clear" w:color="auto" w:fill="FFFFFF"/>
        </w:rPr>
        <w:t xml:space="preserve">dudosamente se puede afirmar que el apoyo dispensado por tales personas fuese deseado, pues de ser así el mismo contrayente habría </w:t>
      </w:r>
      <w:r w:rsidRPr="00EE25D1">
        <w:rPr>
          <w:rFonts w:ascii="Calibri" w:hAnsi="Calibri"/>
          <w:color w:val="000000" w:themeColor="text1"/>
          <w:shd w:val="clear" w:color="auto" w:fill="FFFFFF"/>
        </w:rPr>
        <w:t xml:space="preserve">comunicado en el expediente que tiene una persona que le puede dispensar </w:t>
      </w:r>
      <w:r w:rsidR="007949B4" w:rsidRPr="00EE25D1">
        <w:rPr>
          <w:rFonts w:ascii="Calibri" w:hAnsi="Calibri"/>
          <w:color w:val="000000" w:themeColor="text1"/>
          <w:shd w:val="clear" w:color="auto" w:fill="FFFFFF"/>
        </w:rPr>
        <w:t>el apoyo necesario</w:t>
      </w:r>
      <w:r w:rsidRPr="00EE25D1">
        <w:rPr>
          <w:rFonts w:ascii="Calibri" w:hAnsi="Calibri"/>
          <w:color w:val="000000" w:themeColor="text1"/>
          <w:shd w:val="clear" w:color="auto" w:fill="FFFFFF"/>
        </w:rPr>
        <w:t xml:space="preserve"> a fin de formar su voluntad, sin necesidad de que la autoridad o </w:t>
      </w:r>
      <w:r w:rsidR="00A8195A" w:rsidRPr="00EE25D1">
        <w:rPr>
          <w:rFonts w:ascii="Calibri" w:hAnsi="Calibri"/>
          <w:color w:val="000000" w:themeColor="text1"/>
          <w:shd w:val="clear" w:color="auto" w:fill="FFFFFF"/>
        </w:rPr>
        <w:t>funcionario competente se remita</w:t>
      </w:r>
      <w:r w:rsidRPr="00EE25D1">
        <w:rPr>
          <w:rFonts w:ascii="Calibri" w:hAnsi="Calibri"/>
          <w:color w:val="000000" w:themeColor="text1"/>
          <w:shd w:val="clear" w:color="auto" w:fill="FFFFFF"/>
        </w:rPr>
        <w:t xml:space="preserve"> a la diligencia prevista en el </w:t>
      </w:r>
      <w:r w:rsidR="0037190C" w:rsidRPr="00EE25D1">
        <w:rPr>
          <w:rFonts w:ascii="Calibri" w:hAnsi="Calibri"/>
        </w:rPr>
        <w:t>artículo</w:t>
      </w:r>
      <w:r w:rsidR="00B26FC8" w:rsidRPr="00EE25D1">
        <w:rPr>
          <w:rFonts w:ascii="Calibri" w:hAnsi="Calibri"/>
          <w:color w:val="000000" w:themeColor="text1"/>
          <w:shd w:val="clear" w:color="auto" w:fill="FFFFFF"/>
        </w:rPr>
        <w:t xml:space="preserve"> 58.5 LRC. Se</w:t>
      </w:r>
      <w:r w:rsidR="00CA4975" w:rsidRPr="00EE25D1">
        <w:rPr>
          <w:rFonts w:ascii="Calibri" w:hAnsi="Calibri"/>
          <w:color w:val="000000" w:themeColor="text1"/>
          <w:shd w:val="clear" w:color="auto" w:fill="FFFFFF"/>
        </w:rPr>
        <w:t xml:space="preserve"> podría establecer parangón con la guarda de hecho, si una persona co</w:t>
      </w:r>
      <w:r w:rsidR="00ED4177" w:rsidRPr="00EE25D1">
        <w:rPr>
          <w:rFonts w:ascii="Calibri" w:hAnsi="Calibri"/>
          <w:color w:val="000000" w:themeColor="text1"/>
          <w:shd w:val="clear" w:color="auto" w:fill="FFFFFF"/>
        </w:rPr>
        <w:t>n discapacidad precisa de apoyo</w:t>
      </w:r>
      <w:r w:rsidR="00CA4975" w:rsidRPr="00EE25D1">
        <w:rPr>
          <w:rFonts w:ascii="Calibri" w:hAnsi="Calibri"/>
          <w:color w:val="000000" w:themeColor="text1"/>
          <w:shd w:val="clear" w:color="auto" w:fill="FFFFFF"/>
        </w:rPr>
        <w:t xml:space="preserve"> para un determinado acto o negocio jurídico y el guardado</w:t>
      </w:r>
      <w:r w:rsidR="00A8195A" w:rsidRPr="00EE25D1">
        <w:rPr>
          <w:rFonts w:ascii="Calibri" w:hAnsi="Calibri"/>
          <w:color w:val="000000" w:themeColor="text1"/>
          <w:shd w:val="clear" w:color="auto" w:fill="FFFFFF"/>
        </w:rPr>
        <w:t>r</w:t>
      </w:r>
      <w:r w:rsidR="00CA4975" w:rsidRPr="00EE25D1">
        <w:rPr>
          <w:rFonts w:ascii="Calibri" w:hAnsi="Calibri"/>
          <w:color w:val="000000" w:themeColor="text1"/>
          <w:shd w:val="clear" w:color="auto" w:fill="FFFFFF"/>
        </w:rPr>
        <w:t xml:space="preserve"> de hecho no comparece para brindarle la </w:t>
      </w:r>
      <w:r w:rsidR="00C56647" w:rsidRPr="00EE25D1">
        <w:rPr>
          <w:rFonts w:ascii="Calibri" w:hAnsi="Calibri"/>
          <w:color w:val="000000" w:themeColor="text1"/>
          <w:shd w:val="clear" w:color="auto" w:fill="FFFFFF"/>
        </w:rPr>
        <w:t>ayuda que precisa, una de dos: ora</w:t>
      </w:r>
      <w:r w:rsidR="00CA4975" w:rsidRPr="00EE25D1">
        <w:rPr>
          <w:rFonts w:ascii="Calibri" w:hAnsi="Calibri"/>
          <w:color w:val="000000" w:themeColor="text1"/>
          <w:shd w:val="clear" w:color="auto" w:fill="FFFFFF"/>
        </w:rPr>
        <w:t xml:space="preserve"> la persona con discapacidad no con</w:t>
      </w:r>
      <w:r w:rsidR="00C56647" w:rsidRPr="00EE25D1">
        <w:rPr>
          <w:rFonts w:ascii="Calibri" w:hAnsi="Calibri"/>
          <w:color w:val="000000" w:themeColor="text1"/>
          <w:shd w:val="clear" w:color="auto" w:fill="FFFFFF"/>
        </w:rPr>
        <w:t xml:space="preserve">fía en el apoyo del guardador, ora </w:t>
      </w:r>
      <w:r w:rsidR="00CA4975" w:rsidRPr="00EE25D1">
        <w:rPr>
          <w:rFonts w:ascii="Calibri" w:hAnsi="Calibri"/>
          <w:color w:val="000000" w:themeColor="text1"/>
          <w:shd w:val="clear" w:color="auto" w:fill="FFFFFF"/>
        </w:rPr>
        <w:t>la guarda</w:t>
      </w:r>
      <w:r w:rsidR="00A8195A" w:rsidRPr="00EE25D1">
        <w:rPr>
          <w:rFonts w:ascii="Calibri" w:hAnsi="Calibri"/>
          <w:color w:val="000000" w:themeColor="text1"/>
          <w:shd w:val="clear" w:color="auto" w:fill="FFFFFF"/>
        </w:rPr>
        <w:t xml:space="preserve"> de hecho</w:t>
      </w:r>
      <w:r w:rsidR="00CA4975" w:rsidRPr="00EE25D1">
        <w:rPr>
          <w:rFonts w:ascii="Calibri" w:hAnsi="Calibri"/>
          <w:color w:val="000000" w:themeColor="text1"/>
          <w:shd w:val="clear" w:color="auto" w:fill="FFFFFF"/>
        </w:rPr>
        <w:t xml:space="preserve"> no está funcionando correctamente. La cuarta opción, que vemos más viable por la similitud que </w:t>
      </w:r>
      <w:r w:rsidR="00A94FC3" w:rsidRPr="00EE25D1">
        <w:rPr>
          <w:rFonts w:ascii="Calibri" w:hAnsi="Calibri"/>
          <w:color w:val="000000" w:themeColor="text1"/>
          <w:shd w:val="clear" w:color="auto" w:fill="FFFFFF"/>
        </w:rPr>
        <w:t xml:space="preserve">comparte </w:t>
      </w:r>
      <w:r w:rsidR="00CA4975" w:rsidRPr="00EE25D1">
        <w:rPr>
          <w:rFonts w:ascii="Calibri" w:hAnsi="Calibri"/>
          <w:color w:val="000000" w:themeColor="text1"/>
          <w:shd w:val="clear" w:color="auto" w:fill="FFFFFF"/>
        </w:rPr>
        <w:t>respecto a</w:t>
      </w:r>
      <w:r w:rsidR="00C71F23" w:rsidRPr="00EE25D1">
        <w:rPr>
          <w:rFonts w:ascii="Calibri" w:hAnsi="Calibri"/>
          <w:color w:val="000000" w:themeColor="text1"/>
          <w:shd w:val="clear" w:color="auto" w:fill="FFFFFF"/>
        </w:rPr>
        <w:t xml:space="preserve"> la primera parte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A4975" w:rsidRPr="00EE25D1">
        <w:rPr>
          <w:rFonts w:ascii="Calibri" w:hAnsi="Calibri"/>
          <w:color w:val="000000" w:themeColor="text1"/>
          <w:shd w:val="clear" w:color="auto" w:fill="FFFFFF"/>
        </w:rPr>
        <w:t xml:space="preserve"> –d</w:t>
      </w:r>
      <w:r w:rsidR="007949B4" w:rsidRPr="00EE25D1">
        <w:rPr>
          <w:rFonts w:ascii="Calibri" w:hAnsi="Calibri"/>
          <w:color w:val="000000" w:themeColor="text1"/>
          <w:shd w:val="clear" w:color="auto" w:fill="FFFFFF"/>
        </w:rPr>
        <w:t>iscapacidad física o sensorial- e</w:t>
      </w:r>
      <w:r w:rsidR="00C71F23" w:rsidRPr="00EE25D1">
        <w:rPr>
          <w:rFonts w:ascii="Calibri" w:hAnsi="Calibri"/>
          <w:color w:val="000000" w:themeColor="text1"/>
          <w:shd w:val="clear" w:color="auto" w:fill="FFFFFF"/>
        </w:rPr>
        <w:t xml:space="preserve">s la aplicación del </w:t>
      </w:r>
      <w:r w:rsidR="0037190C" w:rsidRPr="00EE25D1">
        <w:rPr>
          <w:rFonts w:ascii="Calibri" w:hAnsi="Calibri"/>
        </w:rPr>
        <w:t>artículo</w:t>
      </w:r>
      <w:r w:rsidR="0037190C" w:rsidRPr="00EE25D1">
        <w:rPr>
          <w:rFonts w:ascii="Calibri" w:hAnsi="Calibri"/>
          <w:color w:val="000000" w:themeColor="text1"/>
          <w:shd w:val="clear" w:color="auto" w:fill="FFFFFF"/>
        </w:rPr>
        <w:t xml:space="preserve"> </w:t>
      </w:r>
      <w:r w:rsidR="00C71F23" w:rsidRPr="00EE25D1">
        <w:rPr>
          <w:rFonts w:ascii="Calibri" w:hAnsi="Calibri"/>
          <w:color w:val="000000" w:themeColor="text1"/>
          <w:shd w:val="clear" w:color="auto" w:fill="FFFFFF"/>
        </w:rPr>
        <w:t xml:space="preserve">253 </w:t>
      </w:r>
      <w:r w:rsidR="00C71F23" w:rsidRPr="00EE25D1">
        <w:rPr>
          <w:rFonts w:ascii="Calibri" w:hAnsi="Calibri"/>
        </w:rPr>
        <w:t>del Código Civil</w:t>
      </w:r>
      <w:r w:rsidR="00ED4177" w:rsidRPr="00EE25D1">
        <w:rPr>
          <w:rFonts w:ascii="Calibri" w:hAnsi="Calibri"/>
          <w:color w:val="000000" w:themeColor="text1"/>
          <w:shd w:val="clear" w:color="auto" w:fill="FFFFFF"/>
        </w:rPr>
        <w:t>;</w:t>
      </w:r>
      <w:r w:rsidR="007949B4" w:rsidRPr="00EE25D1">
        <w:rPr>
          <w:rFonts w:ascii="Calibri" w:hAnsi="Calibri"/>
          <w:color w:val="000000" w:themeColor="text1"/>
          <w:shd w:val="clear" w:color="auto" w:fill="FFFFFF"/>
        </w:rPr>
        <w:t xml:space="preserve"> todo</w:t>
      </w:r>
      <w:r w:rsidR="00CA4975" w:rsidRPr="00EE25D1">
        <w:rPr>
          <w:rFonts w:ascii="Calibri" w:hAnsi="Calibri"/>
          <w:color w:val="000000" w:themeColor="text1"/>
          <w:shd w:val="clear" w:color="auto" w:fill="FFFFFF"/>
        </w:rPr>
        <w:t xml:space="preserve"> dependerá del significado y alcance del vocablo </w:t>
      </w:r>
      <w:r w:rsidR="00713CC7" w:rsidRPr="00EE25D1">
        <w:rPr>
          <w:rFonts w:ascii="Calibri" w:hAnsi="Calibri"/>
          <w:color w:val="000000" w:themeColor="text1"/>
          <w:shd w:val="clear" w:color="auto" w:fill="FFFFFF"/>
        </w:rPr>
        <w:t>“</w:t>
      </w:r>
      <w:r w:rsidR="00CA4975" w:rsidRPr="00EE25D1">
        <w:rPr>
          <w:rFonts w:ascii="Calibri" w:hAnsi="Calibri"/>
          <w:color w:val="000000" w:themeColor="text1"/>
          <w:shd w:val="clear" w:color="auto" w:fill="FFFFFF"/>
        </w:rPr>
        <w:t>urgencia</w:t>
      </w:r>
      <w:r w:rsidR="00713CC7" w:rsidRPr="00EE25D1">
        <w:rPr>
          <w:rFonts w:ascii="Calibri" w:hAnsi="Calibri"/>
          <w:color w:val="000000" w:themeColor="text1"/>
          <w:shd w:val="clear" w:color="auto" w:fill="FFFFFF"/>
        </w:rPr>
        <w:t>”</w:t>
      </w:r>
      <w:r w:rsidR="00CA4975" w:rsidRPr="00EE25D1">
        <w:rPr>
          <w:rFonts w:ascii="Calibri" w:hAnsi="Calibri"/>
          <w:color w:val="000000" w:themeColor="text1"/>
          <w:shd w:val="clear" w:color="auto" w:fill="FFFFFF"/>
        </w:rPr>
        <w:t xml:space="preserve"> y, más concretamente, si el apoyo que pudiere neces</w:t>
      </w:r>
      <w:r w:rsidR="00A8195A" w:rsidRPr="00EE25D1">
        <w:rPr>
          <w:rFonts w:ascii="Calibri" w:hAnsi="Calibri"/>
          <w:color w:val="000000" w:themeColor="text1"/>
          <w:shd w:val="clear" w:color="auto" w:fill="FFFFFF"/>
        </w:rPr>
        <w:t>itar</w:t>
      </w:r>
      <w:r w:rsidR="00CA4975" w:rsidRPr="00EE25D1">
        <w:rPr>
          <w:rFonts w:ascii="Calibri" w:hAnsi="Calibri"/>
          <w:color w:val="000000" w:themeColor="text1"/>
          <w:shd w:val="clear" w:color="auto" w:fill="FFFFFF"/>
        </w:rPr>
        <w:t xml:space="preserve"> el contrayente con discapacidad reviste o no carácter urgente</w:t>
      </w:r>
      <w:r w:rsidR="00CA4975" w:rsidRPr="00EE25D1">
        <w:rPr>
          <w:rStyle w:val="Refdenotaalpie"/>
          <w:rFonts w:ascii="Calibri" w:hAnsi="Calibri"/>
          <w:color w:val="000000" w:themeColor="text1"/>
          <w:shd w:val="clear" w:color="auto" w:fill="FFFFFF"/>
        </w:rPr>
        <w:footnoteReference w:id="33"/>
      </w:r>
      <w:r w:rsidR="00ED4177" w:rsidRPr="00EE25D1">
        <w:rPr>
          <w:rFonts w:ascii="Calibri" w:hAnsi="Calibri"/>
          <w:color w:val="000000" w:themeColor="text1"/>
          <w:shd w:val="clear" w:color="auto" w:fill="FFFFFF"/>
        </w:rPr>
        <w:t>. A nuestro modo de ver</w:t>
      </w:r>
      <w:r w:rsidR="00CA4975" w:rsidRPr="00EE25D1">
        <w:rPr>
          <w:rFonts w:ascii="Calibri" w:hAnsi="Calibri"/>
          <w:color w:val="000000" w:themeColor="text1"/>
          <w:shd w:val="clear" w:color="auto" w:fill="FFFFFF"/>
        </w:rPr>
        <w:t xml:space="preserve"> sí, pues si parangonam</w:t>
      </w:r>
      <w:r w:rsidR="00C71F23" w:rsidRPr="00EE25D1">
        <w:rPr>
          <w:rFonts w:ascii="Calibri" w:hAnsi="Calibri"/>
          <w:color w:val="000000" w:themeColor="text1"/>
          <w:shd w:val="clear" w:color="auto" w:fill="FFFFFF"/>
        </w:rPr>
        <w:t xml:space="preserve">os la aplicación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253</w:t>
      </w:r>
      <w:r w:rsidR="00CA4975" w:rsidRPr="00EE25D1">
        <w:rPr>
          <w:rFonts w:ascii="Calibri" w:hAnsi="Calibri"/>
          <w:color w:val="000000" w:themeColor="text1"/>
          <w:shd w:val="clear" w:color="auto" w:fill="FFFFFF"/>
        </w:rPr>
        <w:t xml:space="preserve"> con el resto de </w:t>
      </w:r>
      <w:r w:rsidR="007949B4" w:rsidRPr="00EE25D1">
        <w:rPr>
          <w:rFonts w:ascii="Calibri" w:hAnsi="Calibri"/>
          <w:color w:val="000000" w:themeColor="text1"/>
          <w:shd w:val="clear" w:color="auto" w:fill="FFFFFF"/>
        </w:rPr>
        <w:t xml:space="preserve">alternativas </w:t>
      </w:r>
      <w:r w:rsidR="00CA4975" w:rsidRPr="00EE25D1">
        <w:rPr>
          <w:rFonts w:ascii="Calibri" w:hAnsi="Calibri"/>
          <w:color w:val="000000" w:themeColor="text1"/>
          <w:shd w:val="clear" w:color="auto" w:fill="FFFFFF"/>
        </w:rPr>
        <w:t>propuestas</w:t>
      </w:r>
      <w:r w:rsidR="00000B07" w:rsidRPr="00EE25D1">
        <w:rPr>
          <w:rFonts w:ascii="Calibri" w:hAnsi="Calibri"/>
          <w:color w:val="000000" w:themeColor="text1"/>
          <w:shd w:val="clear" w:color="auto" w:fill="FFFFFF"/>
        </w:rPr>
        <w:t>,</w:t>
      </w:r>
      <w:r w:rsidR="00ED4177" w:rsidRPr="00EE25D1">
        <w:rPr>
          <w:rFonts w:ascii="Calibri" w:hAnsi="Calibri"/>
          <w:color w:val="000000" w:themeColor="text1"/>
          <w:shd w:val="clear" w:color="auto" w:fill="FFFFFF"/>
        </w:rPr>
        <w:t xml:space="preserve"> que podría conllevar</w:t>
      </w:r>
      <w:r w:rsidR="00CA4975" w:rsidRPr="00EE25D1">
        <w:rPr>
          <w:rFonts w:ascii="Calibri" w:hAnsi="Calibri"/>
          <w:color w:val="000000" w:themeColor="text1"/>
          <w:shd w:val="clear" w:color="auto" w:fill="FFFFFF"/>
        </w:rPr>
        <w:t xml:space="preserve"> la suspensión del expediente</w:t>
      </w:r>
      <w:r w:rsidR="00A94FC3" w:rsidRPr="00EE25D1">
        <w:rPr>
          <w:rFonts w:ascii="Calibri" w:hAnsi="Calibri"/>
          <w:color w:val="000000" w:themeColor="text1"/>
          <w:shd w:val="clear" w:color="auto" w:fill="FFFFFF"/>
        </w:rPr>
        <w:t xml:space="preserve"> matrimonial</w:t>
      </w:r>
      <w:r w:rsidR="00B26FC8" w:rsidRPr="00EE25D1">
        <w:rPr>
          <w:rFonts w:ascii="Calibri" w:hAnsi="Calibri"/>
          <w:color w:val="000000" w:themeColor="text1"/>
          <w:shd w:val="clear" w:color="auto" w:fill="FFFFFF"/>
        </w:rPr>
        <w:t xml:space="preserve"> -</w:t>
      </w:r>
      <w:r w:rsidR="00CA4975" w:rsidRPr="00EE25D1">
        <w:rPr>
          <w:rFonts w:ascii="Calibri" w:hAnsi="Calibri"/>
          <w:color w:val="000000" w:themeColor="text1"/>
          <w:shd w:val="clear" w:color="auto" w:fill="FFFFFF"/>
        </w:rPr>
        <w:t xml:space="preserve">tanto la incoación de un </w:t>
      </w:r>
      <w:r w:rsidR="00A94FC3" w:rsidRPr="00EE25D1">
        <w:rPr>
          <w:rFonts w:ascii="Calibri" w:hAnsi="Calibri"/>
          <w:color w:val="000000" w:themeColor="text1"/>
          <w:shd w:val="clear" w:color="auto" w:fill="FFFFFF"/>
        </w:rPr>
        <w:t>procedimiento</w:t>
      </w:r>
      <w:r w:rsidR="00CA4975" w:rsidRPr="00EE25D1">
        <w:rPr>
          <w:rFonts w:ascii="Calibri" w:hAnsi="Calibri"/>
          <w:color w:val="000000" w:themeColor="text1"/>
          <w:shd w:val="clear" w:color="auto" w:fill="FFFFFF"/>
        </w:rPr>
        <w:t xml:space="preserve"> de provisión de medidas de apoyo de carácter judicial como el del nombramiento del defensor ju</w:t>
      </w:r>
      <w:r w:rsidR="007949B4" w:rsidRPr="00EE25D1">
        <w:rPr>
          <w:rFonts w:ascii="Calibri" w:hAnsi="Calibri"/>
          <w:color w:val="000000" w:themeColor="text1"/>
          <w:shd w:val="clear" w:color="auto" w:fill="FFFFFF"/>
        </w:rPr>
        <w:t>dicial-, la prestación de apoyo</w:t>
      </w:r>
      <w:r w:rsidR="00CA4975" w:rsidRPr="00EE25D1">
        <w:rPr>
          <w:rFonts w:ascii="Calibri" w:hAnsi="Calibri"/>
          <w:color w:val="000000" w:themeColor="text1"/>
          <w:shd w:val="clear" w:color="auto" w:fill="FFFFFF"/>
        </w:rPr>
        <w:t xml:space="preserve"> por una entidad pública es la</w:t>
      </w:r>
      <w:r w:rsidR="00A8195A" w:rsidRPr="00EE25D1">
        <w:rPr>
          <w:rFonts w:ascii="Calibri" w:hAnsi="Calibri"/>
          <w:color w:val="000000" w:themeColor="text1"/>
          <w:shd w:val="clear" w:color="auto" w:fill="FFFFFF"/>
        </w:rPr>
        <w:t xml:space="preserve"> opción que resultaría, a la postre,</w:t>
      </w:r>
      <w:r w:rsidR="00CA4975" w:rsidRPr="00EE25D1">
        <w:rPr>
          <w:rFonts w:ascii="Calibri" w:hAnsi="Calibri"/>
          <w:color w:val="000000" w:themeColor="text1"/>
          <w:shd w:val="clear" w:color="auto" w:fill="FFFFFF"/>
        </w:rPr>
        <w:t xml:space="preserve"> menos lesiva para la persona con discapacidad que desea contraer matrimonio. </w:t>
      </w:r>
      <w:r w:rsidR="00A54577" w:rsidRPr="00EE25D1">
        <w:rPr>
          <w:rFonts w:ascii="Calibri" w:hAnsi="Calibri"/>
          <w:color w:val="000000" w:themeColor="text1"/>
          <w:shd w:val="clear" w:color="auto" w:fill="FFFFFF"/>
        </w:rPr>
        <w:t xml:space="preserve">Todo ello sin perjuicio de </w:t>
      </w:r>
      <w:r w:rsidR="00A8195A" w:rsidRPr="00EE25D1">
        <w:rPr>
          <w:rFonts w:ascii="Calibri" w:hAnsi="Calibri"/>
          <w:color w:val="000000" w:themeColor="text1"/>
          <w:shd w:val="clear" w:color="auto" w:fill="FFFFFF"/>
        </w:rPr>
        <w:t xml:space="preserve">que, </w:t>
      </w:r>
      <w:r w:rsidR="00A94FC3" w:rsidRPr="00EE25D1">
        <w:rPr>
          <w:rFonts w:ascii="Calibri" w:hAnsi="Calibri"/>
          <w:color w:val="000000" w:themeColor="text1"/>
          <w:shd w:val="clear" w:color="auto" w:fill="FFFFFF"/>
        </w:rPr>
        <w:t>aun en el caso de que</w:t>
      </w:r>
      <w:r w:rsidR="00A54577" w:rsidRPr="00EE25D1">
        <w:rPr>
          <w:rFonts w:ascii="Calibri" w:hAnsi="Calibri"/>
          <w:color w:val="000000" w:themeColor="text1"/>
          <w:shd w:val="clear" w:color="auto" w:fill="FFFFFF"/>
        </w:rPr>
        <w:t xml:space="preserve"> el e</w:t>
      </w:r>
      <w:r w:rsidR="00B17D8D" w:rsidRPr="00EE25D1">
        <w:rPr>
          <w:rFonts w:ascii="Calibri" w:hAnsi="Calibri"/>
          <w:color w:val="000000" w:themeColor="text1"/>
          <w:shd w:val="clear" w:color="auto" w:fill="FFFFFF"/>
        </w:rPr>
        <w:t>scenario planteado no se subsuma</w:t>
      </w:r>
      <w:r w:rsidR="00A54577" w:rsidRPr="00EE25D1">
        <w:rPr>
          <w:rFonts w:ascii="Calibri" w:hAnsi="Calibri"/>
          <w:color w:val="000000" w:themeColor="text1"/>
          <w:shd w:val="clear" w:color="auto" w:fill="FFFFFF"/>
        </w:rPr>
        <w:t xml:space="preserve"> en el s</w:t>
      </w:r>
      <w:r w:rsidR="00C71F23" w:rsidRPr="00EE25D1">
        <w:rPr>
          <w:rFonts w:ascii="Calibri" w:hAnsi="Calibri"/>
          <w:color w:val="000000" w:themeColor="text1"/>
          <w:shd w:val="clear" w:color="auto" w:fill="FFFFFF"/>
        </w:rPr>
        <w:t xml:space="preserve">upuesto de hecho del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253</w:t>
      </w:r>
      <w:r w:rsidR="00A54577" w:rsidRPr="00EE25D1">
        <w:rPr>
          <w:rFonts w:ascii="Calibri" w:hAnsi="Calibri"/>
          <w:color w:val="000000" w:themeColor="text1"/>
          <w:shd w:val="clear" w:color="auto" w:fill="FFFFFF"/>
        </w:rPr>
        <w:t xml:space="preserve">, se podría vindicar que </w:t>
      </w:r>
      <w:r w:rsidR="00082867" w:rsidRPr="00EE25D1">
        <w:rPr>
          <w:rFonts w:ascii="Calibri" w:hAnsi="Calibri"/>
          <w:color w:val="000000" w:themeColor="text1"/>
          <w:shd w:val="clear" w:color="auto" w:fill="FFFFFF"/>
        </w:rPr>
        <w:t xml:space="preserve">la entidad pública </w:t>
      </w:r>
      <w:r w:rsidR="00932721" w:rsidRPr="00EE25D1">
        <w:rPr>
          <w:rFonts w:ascii="Calibri" w:hAnsi="Calibri"/>
          <w:color w:val="000000" w:themeColor="text1"/>
          <w:shd w:val="clear" w:color="auto" w:fill="FFFFFF"/>
        </w:rPr>
        <w:t>preste</w:t>
      </w:r>
      <w:r w:rsidR="00082867" w:rsidRPr="00EE25D1">
        <w:rPr>
          <w:rFonts w:ascii="Calibri" w:hAnsi="Calibri"/>
          <w:color w:val="000000" w:themeColor="text1"/>
          <w:shd w:val="clear" w:color="auto" w:fill="FFFFFF"/>
        </w:rPr>
        <w:t xml:space="preserve"> apoyo</w:t>
      </w:r>
      <w:r w:rsidR="00A54577" w:rsidRPr="00EE25D1">
        <w:rPr>
          <w:rFonts w:ascii="Calibri" w:hAnsi="Calibri"/>
          <w:color w:val="000000" w:themeColor="text1"/>
          <w:shd w:val="clear" w:color="auto" w:fill="FFFFFF"/>
        </w:rPr>
        <w:t xml:space="preserve"> al</w:t>
      </w:r>
      <w:r w:rsidR="00082867" w:rsidRPr="00EE25D1">
        <w:rPr>
          <w:rFonts w:ascii="Calibri" w:hAnsi="Calibri"/>
          <w:color w:val="000000" w:themeColor="text1"/>
          <w:shd w:val="clear" w:color="auto" w:fill="FFFFFF"/>
        </w:rPr>
        <w:t xml:space="preserve"> contrayente desprovisto de él</w:t>
      </w:r>
      <w:r w:rsidR="00932721" w:rsidRPr="00EE25D1">
        <w:rPr>
          <w:rFonts w:ascii="Calibri" w:hAnsi="Calibri"/>
          <w:color w:val="000000" w:themeColor="text1"/>
          <w:shd w:val="clear" w:color="auto" w:fill="FFFFFF"/>
        </w:rPr>
        <w:t xml:space="preserve"> merced </w:t>
      </w:r>
      <w:r w:rsidR="00A54577" w:rsidRPr="00EE25D1">
        <w:rPr>
          <w:rFonts w:ascii="Calibri" w:hAnsi="Calibri"/>
          <w:color w:val="000000" w:themeColor="text1"/>
          <w:shd w:val="clear" w:color="auto" w:fill="FFFFFF"/>
        </w:rPr>
        <w:t xml:space="preserve">una aplicación analógica del </w:t>
      </w:r>
      <w:r w:rsidR="00A8195A" w:rsidRPr="00EE25D1">
        <w:rPr>
          <w:rFonts w:ascii="Calibri" w:hAnsi="Calibri"/>
          <w:color w:val="000000" w:themeColor="text1"/>
          <w:shd w:val="clear" w:color="auto" w:fill="FFFFFF"/>
        </w:rPr>
        <w:t xml:space="preserve">primer inciso </w:t>
      </w:r>
      <w:r w:rsidR="007043F8" w:rsidRPr="00EE25D1">
        <w:rPr>
          <w:rFonts w:ascii="Calibri" w:hAnsi="Calibri"/>
          <w:color w:val="000000" w:themeColor="text1"/>
          <w:shd w:val="clear" w:color="auto" w:fill="FFFFFF"/>
        </w:rPr>
        <w:t>del segundo párrafo</w:t>
      </w:r>
      <w:r w:rsidR="00C71F23" w:rsidRPr="00EE25D1">
        <w:rPr>
          <w:rFonts w:ascii="Calibri" w:hAnsi="Calibri"/>
          <w:color w:val="000000" w:themeColor="text1"/>
          <w:shd w:val="clear" w:color="auto" w:fill="FFFFFF"/>
        </w:rPr>
        <w:t xml:space="preserve"> del </w:t>
      </w:r>
      <w:r w:rsidR="0037190C" w:rsidRPr="00EE25D1">
        <w:rPr>
          <w:rFonts w:ascii="Calibri" w:hAnsi="Calibri"/>
        </w:rPr>
        <w:t>artículo</w:t>
      </w:r>
      <w:r w:rsidR="0037190C" w:rsidRPr="00EE25D1">
        <w:rPr>
          <w:rFonts w:ascii="Calibri" w:hAnsi="Calibri"/>
          <w:color w:val="000000" w:themeColor="text1"/>
          <w:shd w:val="clear" w:color="auto" w:fill="FFFFFF"/>
        </w:rPr>
        <w:t xml:space="preserve"> 56</w:t>
      </w:r>
      <w:r w:rsidR="00A94FC3" w:rsidRPr="00EE25D1">
        <w:rPr>
          <w:rFonts w:ascii="Calibri" w:hAnsi="Calibri"/>
          <w:color w:val="000000" w:themeColor="text1"/>
          <w:shd w:val="clear" w:color="auto" w:fill="FFFFFF"/>
        </w:rPr>
        <w:t>.</w:t>
      </w:r>
      <w:r w:rsidR="00082867" w:rsidRPr="00EE25D1">
        <w:rPr>
          <w:rFonts w:ascii="Calibri" w:hAnsi="Calibri"/>
          <w:color w:val="000000" w:themeColor="text1"/>
          <w:shd w:val="clear" w:color="auto" w:fill="FFFFFF"/>
        </w:rPr>
        <w:t xml:space="preserve"> </w:t>
      </w:r>
      <w:r w:rsidR="00B17D8D" w:rsidRPr="00EE25D1">
        <w:rPr>
          <w:rFonts w:ascii="Calibri" w:hAnsi="Calibri"/>
          <w:color w:val="000000" w:themeColor="text1"/>
          <w:shd w:val="clear" w:color="auto" w:fill="FFFFFF"/>
        </w:rPr>
        <w:t xml:space="preserve">De lo contrario, no tendría sentido que fuera posible recurrir, </w:t>
      </w:r>
      <w:r w:rsidR="00B17D8D" w:rsidRPr="00EE25D1">
        <w:rPr>
          <w:rFonts w:ascii="Calibri" w:hAnsi="Calibri"/>
          <w:i/>
          <w:color w:val="000000" w:themeColor="text1"/>
          <w:shd w:val="clear" w:color="auto" w:fill="FFFFFF"/>
        </w:rPr>
        <w:t>ab initio</w:t>
      </w:r>
      <w:r w:rsidR="00B17D8D" w:rsidRPr="00EE25D1">
        <w:rPr>
          <w:rFonts w:ascii="Calibri" w:hAnsi="Calibri"/>
          <w:color w:val="000000" w:themeColor="text1"/>
          <w:shd w:val="clear" w:color="auto" w:fill="FFFFFF"/>
        </w:rPr>
        <w:t xml:space="preserve"> del expediente, a las Administraciones o entidades de promoción y protección de los derecho de las personas con discapacidad para dotar de apoyos al contrayente que tiene problemas para exteriorizar o emitir su voluntad y no sea posible cuando el mismo, aquejado de una discapacidad psíquica, mental o intelectual, no</w:t>
      </w:r>
      <w:r w:rsidR="007949B4" w:rsidRPr="00EE25D1">
        <w:rPr>
          <w:rFonts w:ascii="Calibri" w:hAnsi="Calibri"/>
          <w:color w:val="000000" w:themeColor="text1"/>
          <w:shd w:val="clear" w:color="auto" w:fill="FFFFFF"/>
        </w:rPr>
        <w:t xml:space="preserve"> tenga medidas de apoyo judiciales, informales o voluntarias y precise </w:t>
      </w:r>
      <w:r w:rsidR="00ED4177" w:rsidRPr="00EE25D1">
        <w:rPr>
          <w:rFonts w:ascii="Calibri" w:hAnsi="Calibri"/>
          <w:color w:val="000000" w:themeColor="text1"/>
          <w:shd w:val="clear" w:color="auto" w:fill="FFFFFF"/>
        </w:rPr>
        <w:t>del mismo</w:t>
      </w:r>
      <w:r w:rsidR="00B17D8D" w:rsidRPr="00EE25D1">
        <w:rPr>
          <w:rFonts w:ascii="Calibri" w:hAnsi="Calibri"/>
          <w:color w:val="000000" w:themeColor="text1"/>
          <w:shd w:val="clear" w:color="auto" w:fill="FFFFFF"/>
        </w:rPr>
        <w:t xml:space="preserve"> para formar su voluntad en orden al matrimonio, máxime cuando descartar dicha posibilidad podría suponer, en la práctica, una discriminación a las personas con discapacidad, que verían como el expediente matrimonial se demoraría </w:t>
      </w:r>
      <w:r w:rsidR="00B17D8D" w:rsidRPr="00EE25D1">
        <w:rPr>
          <w:rFonts w:ascii="Calibri" w:hAnsi="Calibri"/>
          <w:i/>
          <w:color w:val="000000" w:themeColor="text1"/>
          <w:shd w:val="clear" w:color="auto" w:fill="FFFFFF"/>
        </w:rPr>
        <w:t>ad eternum</w:t>
      </w:r>
      <w:r w:rsidR="00B17D8D" w:rsidRPr="00EE25D1">
        <w:rPr>
          <w:rFonts w:ascii="Calibri" w:hAnsi="Calibri"/>
          <w:color w:val="000000" w:themeColor="text1"/>
          <w:shd w:val="clear" w:color="auto" w:fill="FFFFFF"/>
        </w:rPr>
        <w:t xml:space="preserve"> al tener </w:t>
      </w:r>
      <w:r w:rsidR="007949B4" w:rsidRPr="00EE25D1">
        <w:rPr>
          <w:rFonts w:ascii="Calibri" w:hAnsi="Calibri"/>
          <w:color w:val="000000" w:themeColor="text1"/>
          <w:shd w:val="clear" w:color="auto" w:fill="FFFFFF"/>
        </w:rPr>
        <w:t xml:space="preserve">que </w:t>
      </w:r>
      <w:r w:rsidR="00B17D8D" w:rsidRPr="00EE25D1">
        <w:rPr>
          <w:rFonts w:ascii="Calibri" w:hAnsi="Calibri"/>
          <w:color w:val="000000" w:themeColor="text1"/>
          <w:shd w:val="clear" w:color="auto" w:fill="FFFFFF"/>
        </w:rPr>
        <w:t>suspenderse</w:t>
      </w:r>
      <w:r w:rsidR="00ED4177" w:rsidRPr="00EE25D1">
        <w:rPr>
          <w:rFonts w:ascii="Calibri" w:hAnsi="Calibri"/>
          <w:color w:val="000000" w:themeColor="text1"/>
          <w:shd w:val="clear" w:color="auto" w:fill="FFFFFF"/>
        </w:rPr>
        <w:t xml:space="preserve"> el expediente matrimonial</w:t>
      </w:r>
      <w:r w:rsidR="00B17D8D" w:rsidRPr="00EE25D1">
        <w:rPr>
          <w:rFonts w:ascii="Calibri" w:hAnsi="Calibri"/>
          <w:color w:val="000000" w:themeColor="text1"/>
          <w:shd w:val="clear" w:color="auto" w:fill="FFFFFF"/>
        </w:rPr>
        <w:t xml:space="preserve"> e incoarse, al alimón, otro e</w:t>
      </w:r>
      <w:r w:rsidR="00000B07" w:rsidRPr="00EE25D1">
        <w:rPr>
          <w:rFonts w:ascii="Calibri" w:hAnsi="Calibri"/>
          <w:color w:val="000000" w:themeColor="text1"/>
          <w:shd w:val="clear" w:color="auto" w:fill="FFFFFF"/>
        </w:rPr>
        <w:t>xpediente de provisión de apoyo</w:t>
      </w:r>
      <w:r w:rsidR="00B17D8D" w:rsidRPr="00EE25D1">
        <w:rPr>
          <w:rFonts w:ascii="Calibri" w:hAnsi="Calibri"/>
          <w:color w:val="000000" w:themeColor="text1"/>
          <w:shd w:val="clear" w:color="auto" w:fill="FFFFFF"/>
        </w:rPr>
        <w:t>, existiendo otra alternativa qu</w:t>
      </w:r>
      <w:r w:rsidR="00000B07" w:rsidRPr="00EE25D1">
        <w:rPr>
          <w:rFonts w:ascii="Calibri" w:hAnsi="Calibri"/>
          <w:color w:val="000000" w:themeColor="text1"/>
          <w:shd w:val="clear" w:color="auto" w:fill="FFFFFF"/>
        </w:rPr>
        <w:t>e, sin dejar despojada de apoyo</w:t>
      </w:r>
      <w:r w:rsidR="00B17D8D" w:rsidRPr="00EE25D1">
        <w:rPr>
          <w:rFonts w:ascii="Calibri" w:hAnsi="Calibri"/>
          <w:color w:val="000000" w:themeColor="text1"/>
          <w:shd w:val="clear" w:color="auto" w:fill="FFFFFF"/>
        </w:rPr>
        <w:t xml:space="preserve"> a la persona con discapacidad, se vislumbra más ágil y eficaz. </w:t>
      </w:r>
    </w:p>
    <w:p w:rsidR="00B26FC8" w:rsidRPr="00EE25D1" w:rsidRDefault="00B26FC8"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No queremos con esta tesis prescindir de las reglas procedimentales, sino hallar una solución proporcional y garantista para aquellas personas con discapacidad que precisan de apoyo para prestar el consentimiento matrimonial y comparecen en el expediente sin medidas de apoyo judiciales, informales o voluntarias. </w:t>
      </w:r>
    </w:p>
    <w:p w:rsidR="00A14762" w:rsidRPr="00EE25D1" w:rsidRDefault="00C02EF1" w:rsidP="00D44BF1">
      <w:pPr>
        <w:tabs>
          <w:tab w:val="left" w:pos="8505"/>
        </w:tabs>
        <w:spacing w:before="100" w:beforeAutospacing="1" w:after="100" w:afterAutospacing="1"/>
        <w:rPr>
          <w:rFonts w:ascii="Calibri" w:hAnsi="Calibri"/>
          <w:b/>
          <w:i/>
          <w:color w:val="000000" w:themeColor="text1"/>
          <w:shd w:val="clear" w:color="auto" w:fill="FFFFFF"/>
        </w:rPr>
      </w:pPr>
      <w:r w:rsidRPr="00EE25D1">
        <w:rPr>
          <w:rFonts w:ascii="Calibri" w:hAnsi="Calibri"/>
          <w:b/>
          <w:i/>
          <w:color w:val="000000" w:themeColor="text1"/>
          <w:shd w:val="clear" w:color="auto" w:fill="FFFFFF"/>
        </w:rPr>
        <w:t>2.</w:t>
      </w:r>
      <w:r w:rsidR="00A14762" w:rsidRPr="00EE25D1">
        <w:rPr>
          <w:rFonts w:ascii="Calibri" w:hAnsi="Calibri"/>
          <w:b/>
          <w:i/>
          <w:color w:val="000000" w:themeColor="text1"/>
          <w:shd w:val="clear" w:color="auto" w:fill="FFFFFF"/>
        </w:rPr>
        <w:t>5. Procedencia y potencialidad decisoria del dictamen médico</w:t>
      </w:r>
    </w:p>
    <w:p w:rsidR="00A14762" w:rsidRPr="00EE25D1" w:rsidRDefault="00C71F23"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Parece que el </w:t>
      </w:r>
      <w:r w:rsidR="0037190C" w:rsidRPr="00EE25D1">
        <w:rPr>
          <w:rFonts w:ascii="Calibri" w:hAnsi="Calibri"/>
        </w:rPr>
        <w:t>artículo</w:t>
      </w:r>
      <w:r w:rsidRPr="00EE25D1">
        <w:rPr>
          <w:rFonts w:ascii="Calibri" w:hAnsi="Calibri"/>
          <w:color w:val="000000" w:themeColor="text1"/>
          <w:shd w:val="clear" w:color="auto" w:fill="FFFFFF"/>
        </w:rPr>
        <w:t xml:space="preserve"> 56 </w:t>
      </w:r>
      <w:r w:rsidRPr="00EE25D1">
        <w:rPr>
          <w:rFonts w:ascii="Calibri" w:hAnsi="Calibri"/>
        </w:rPr>
        <w:t>del Código Civil</w:t>
      </w:r>
      <w:r w:rsidR="00A14762" w:rsidRPr="00EE25D1">
        <w:rPr>
          <w:rFonts w:ascii="Calibri" w:hAnsi="Calibri"/>
          <w:color w:val="000000" w:themeColor="text1"/>
          <w:shd w:val="clear" w:color="auto" w:fill="FFFFFF"/>
        </w:rPr>
        <w:t xml:space="preserve"> deja poco margen al encargado del expediente matrimonial respecto del dictamen médico. El último inciso establece que solo en el caso que, </w:t>
      </w:r>
      <w:r w:rsidR="00713CC7" w:rsidRPr="00EE25D1">
        <w:rPr>
          <w:rFonts w:ascii="Calibri" w:hAnsi="Calibri"/>
          <w:color w:val="000000" w:themeColor="text1"/>
          <w:shd w:val="clear" w:color="auto" w:fill="FFFFFF"/>
        </w:rPr>
        <w:t>“</w:t>
      </w:r>
      <w:r w:rsidR="00A14762" w:rsidRPr="00EE25D1">
        <w:rPr>
          <w:rFonts w:ascii="Calibri" w:hAnsi="Calibri"/>
          <w:color w:val="000000" w:themeColor="text1"/>
          <w:shd w:val="clear" w:color="auto" w:fill="FFFFFF"/>
        </w:rPr>
        <w:t>de modo evidente, categórico y sustancial</w:t>
      </w:r>
      <w:r w:rsidR="00713CC7" w:rsidRPr="00EE25D1">
        <w:rPr>
          <w:rFonts w:ascii="Calibri" w:hAnsi="Calibri"/>
          <w:color w:val="000000" w:themeColor="text1"/>
          <w:shd w:val="clear" w:color="auto" w:fill="FFFFFF"/>
        </w:rPr>
        <w:t>”</w:t>
      </w:r>
      <w:r w:rsidR="00A14762" w:rsidRPr="00EE25D1">
        <w:rPr>
          <w:rFonts w:ascii="Calibri" w:hAnsi="Calibri"/>
          <w:color w:val="000000" w:themeColor="text1"/>
          <w:shd w:val="clear" w:color="auto" w:fill="FFFFFF"/>
        </w:rPr>
        <w:t xml:space="preserve">, el contrayente, por razón de su discapacidad psíquica, mental o intelectual, no pueda prestar el consentimiento, pese al apoyo, se tendrá que recabar dictamen médico cuya elaboración deberá estar ligada con la aptitud de este para ejercer el </w:t>
      </w:r>
      <w:r w:rsidR="00A14762" w:rsidRPr="00EE25D1">
        <w:rPr>
          <w:rFonts w:ascii="Calibri" w:hAnsi="Calibri"/>
          <w:i/>
          <w:color w:val="000000" w:themeColor="text1"/>
          <w:shd w:val="clear" w:color="auto" w:fill="FFFFFF"/>
        </w:rPr>
        <w:t>ius nubendi</w:t>
      </w:r>
      <w:r w:rsidR="00ED4177" w:rsidRPr="00EE25D1">
        <w:rPr>
          <w:rFonts w:ascii="Calibri" w:hAnsi="Calibri"/>
          <w:color w:val="000000" w:themeColor="text1"/>
          <w:shd w:val="clear" w:color="auto" w:fill="FFFFFF"/>
        </w:rPr>
        <w:t xml:space="preserve"> y </w:t>
      </w:r>
      <w:r w:rsidR="00D8452C" w:rsidRPr="00EE25D1">
        <w:rPr>
          <w:rFonts w:ascii="Calibri" w:hAnsi="Calibri"/>
          <w:color w:val="000000" w:themeColor="text1"/>
          <w:shd w:val="clear" w:color="auto" w:fill="FFFFFF"/>
        </w:rPr>
        <w:t xml:space="preserve">prevenir la influencia indebida de terceras personas. </w:t>
      </w:r>
      <w:r w:rsidR="00A14762" w:rsidRPr="00EE25D1">
        <w:rPr>
          <w:rFonts w:ascii="Calibri" w:hAnsi="Calibri"/>
          <w:color w:val="000000" w:themeColor="text1"/>
          <w:shd w:val="clear" w:color="auto" w:fill="FFFFFF"/>
        </w:rPr>
        <w:t>Pese a que</w:t>
      </w:r>
      <w:r w:rsidR="00D8452C" w:rsidRPr="00EE25D1">
        <w:rPr>
          <w:rFonts w:ascii="Calibri" w:hAnsi="Calibri"/>
          <w:color w:val="000000" w:themeColor="text1"/>
          <w:shd w:val="clear" w:color="auto" w:fill="FFFFFF"/>
        </w:rPr>
        <w:t xml:space="preserve"> actualmente la procedencia del</w:t>
      </w:r>
      <w:r w:rsidR="00A14762" w:rsidRPr="00EE25D1">
        <w:rPr>
          <w:rFonts w:ascii="Calibri" w:hAnsi="Calibri"/>
          <w:color w:val="000000" w:themeColor="text1"/>
          <w:shd w:val="clear" w:color="auto" w:fill="FFFFFF"/>
        </w:rPr>
        <w:t xml:space="preserve"> dictamen médico se concibe, de mano del legislador, como la </w:t>
      </w:r>
      <w:r w:rsidR="00A14762" w:rsidRPr="00EE25D1">
        <w:rPr>
          <w:rFonts w:ascii="Calibri" w:hAnsi="Calibri"/>
          <w:i/>
          <w:color w:val="000000" w:themeColor="text1"/>
          <w:shd w:val="clear" w:color="auto" w:fill="FFFFFF"/>
        </w:rPr>
        <w:t>última ratio</w:t>
      </w:r>
      <w:r w:rsidR="00FC60DA" w:rsidRPr="00EE25D1">
        <w:rPr>
          <w:rStyle w:val="Refdenotaalpie"/>
          <w:rFonts w:ascii="Calibri" w:hAnsi="Calibri"/>
          <w:i/>
          <w:color w:val="000000" w:themeColor="text1"/>
          <w:shd w:val="clear" w:color="auto" w:fill="FFFFFF"/>
        </w:rPr>
        <w:footnoteReference w:id="34"/>
      </w:r>
      <w:r w:rsidR="00A14762" w:rsidRPr="00EE25D1">
        <w:rPr>
          <w:rFonts w:ascii="Calibri" w:hAnsi="Calibri"/>
          <w:color w:val="000000" w:themeColor="text1"/>
          <w:shd w:val="clear" w:color="auto" w:fill="FFFFFF"/>
        </w:rPr>
        <w:t>,</w:t>
      </w:r>
      <w:r w:rsidR="002C2C94" w:rsidRPr="00EE25D1">
        <w:rPr>
          <w:rFonts w:ascii="Calibri" w:hAnsi="Calibri"/>
          <w:color w:val="000000" w:themeColor="text1"/>
          <w:shd w:val="clear" w:color="auto" w:fill="FFFFFF"/>
        </w:rPr>
        <w:t xml:space="preserve"> </w:t>
      </w:r>
      <w:r w:rsidR="00DD0132" w:rsidRPr="00EE25D1">
        <w:rPr>
          <w:rFonts w:ascii="Calibri" w:hAnsi="Calibri"/>
          <w:color w:val="000000" w:themeColor="text1"/>
          <w:shd w:val="clear" w:color="auto" w:fill="FFFFFF"/>
        </w:rPr>
        <w:t>de acuerdo con el</w:t>
      </w:r>
      <w:r w:rsidR="002C2C94" w:rsidRPr="00EE25D1">
        <w:rPr>
          <w:rFonts w:ascii="Calibri" w:hAnsi="Calibri"/>
          <w:color w:val="000000" w:themeColor="text1"/>
          <w:shd w:val="clear" w:color="auto" w:fill="FFFFFF"/>
        </w:rPr>
        <w:t xml:space="preserve"> principio </w:t>
      </w:r>
      <w:r w:rsidR="002C2C94" w:rsidRPr="00EE25D1">
        <w:rPr>
          <w:rFonts w:ascii="Calibri" w:hAnsi="Calibri"/>
          <w:i/>
          <w:color w:val="000000" w:themeColor="text1"/>
          <w:shd w:val="clear" w:color="auto" w:fill="FFFFFF"/>
        </w:rPr>
        <w:t>pro capacítate</w:t>
      </w:r>
      <w:r w:rsidR="00D8452C" w:rsidRPr="00EE25D1">
        <w:rPr>
          <w:rFonts w:ascii="Calibri" w:hAnsi="Calibri"/>
          <w:color w:val="000000" w:themeColor="text1"/>
          <w:shd w:val="clear" w:color="auto" w:fill="FFFFFF"/>
        </w:rPr>
        <w:t xml:space="preserve">, </w:t>
      </w:r>
      <w:r w:rsidR="008616DA" w:rsidRPr="00EE25D1">
        <w:rPr>
          <w:rFonts w:ascii="Calibri" w:hAnsi="Calibri"/>
          <w:color w:val="000000" w:themeColor="text1"/>
          <w:shd w:val="clear" w:color="auto" w:fill="FFFFFF"/>
        </w:rPr>
        <w:t xml:space="preserve">no bastando, en palabras de De Verda y Beamonte, </w:t>
      </w:r>
      <w:r w:rsidR="00713CC7" w:rsidRPr="00EE25D1">
        <w:rPr>
          <w:rFonts w:ascii="Calibri" w:hAnsi="Calibri"/>
          <w:color w:val="000000" w:themeColor="text1"/>
          <w:shd w:val="clear" w:color="auto" w:fill="FFFFFF"/>
        </w:rPr>
        <w:t>“</w:t>
      </w:r>
      <w:r w:rsidR="008616DA" w:rsidRPr="00EE25D1">
        <w:rPr>
          <w:rFonts w:ascii="Calibri" w:hAnsi="Calibri"/>
          <w:i/>
          <w:color w:val="000000" w:themeColor="text1"/>
          <w:shd w:val="clear" w:color="auto" w:fill="FFFFFF"/>
        </w:rPr>
        <w:t>meras dudas</w:t>
      </w:r>
      <w:r w:rsidR="008616DA" w:rsidRPr="00EE25D1">
        <w:rPr>
          <w:rFonts w:ascii="Calibri" w:hAnsi="Calibri"/>
          <w:color w:val="000000" w:themeColor="text1"/>
          <w:shd w:val="clear" w:color="auto" w:fill="FFFFFF"/>
        </w:rPr>
        <w:t xml:space="preserve">, sino que se requiere </w:t>
      </w:r>
      <w:r w:rsidR="008616DA" w:rsidRPr="00EE25D1">
        <w:rPr>
          <w:rFonts w:ascii="Calibri" w:hAnsi="Calibri"/>
          <w:i/>
          <w:color w:val="000000" w:themeColor="text1"/>
          <w:shd w:val="clear" w:color="auto" w:fill="FFFFFF"/>
        </w:rPr>
        <w:t>certeza</w:t>
      </w:r>
      <w:r w:rsidR="008616DA" w:rsidRPr="00EE25D1">
        <w:rPr>
          <w:rFonts w:ascii="Calibri" w:hAnsi="Calibri"/>
          <w:color w:val="000000" w:themeColor="text1"/>
          <w:shd w:val="clear" w:color="auto" w:fill="FFFFFF"/>
        </w:rPr>
        <w:t xml:space="preserve"> respecto a la capacidad natural del contrayente</w:t>
      </w:r>
      <w:r w:rsidR="00713CC7" w:rsidRPr="00EE25D1">
        <w:rPr>
          <w:rFonts w:ascii="Calibri" w:hAnsi="Calibri"/>
          <w:color w:val="000000" w:themeColor="text1"/>
          <w:shd w:val="clear" w:color="auto" w:fill="FFFFFF"/>
        </w:rPr>
        <w:t>”</w:t>
      </w:r>
      <w:r w:rsidR="00421FB2" w:rsidRPr="00EE25D1">
        <w:rPr>
          <w:rStyle w:val="Refdenotaalpie"/>
          <w:rFonts w:ascii="Calibri" w:hAnsi="Calibri"/>
          <w:color w:val="000000" w:themeColor="text1"/>
          <w:shd w:val="clear" w:color="auto" w:fill="FFFFFF"/>
        </w:rPr>
        <w:footnoteReference w:id="35"/>
      </w:r>
      <w:r w:rsidR="008616DA" w:rsidRPr="00EE25D1">
        <w:rPr>
          <w:rFonts w:ascii="Calibri" w:hAnsi="Calibri"/>
          <w:color w:val="000000" w:themeColor="text1"/>
          <w:shd w:val="clear" w:color="auto" w:fill="FFFFFF"/>
        </w:rPr>
        <w:t xml:space="preserve">, </w:t>
      </w:r>
      <w:r w:rsidR="005E39FA" w:rsidRPr="00EE25D1">
        <w:rPr>
          <w:rFonts w:ascii="Calibri" w:hAnsi="Calibri"/>
          <w:color w:val="000000" w:themeColor="text1"/>
          <w:shd w:val="clear" w:color="auto" w:fill="FFFFFF"/>
        </w:rPr>
        <w:t>el apartado cuarto de la</w:t>
      </w:r>
      <w:r w:rsidR="008616DA" w:rsidRPr="00EE25D1">
        <w:rPr>
          <w:rFonts w:ascii="Calibri" w:hAnsi="Calibri"/>
          <w:color w:val="000000" w:themeColor="text1"/>
          <w:shd w:val="clear" w:color="auto" w:fill="FFFFFF"/>
        </w:rPr>
        <w:t xml:space="preserve"> Instrucción de la Dirección General de Seguridad Jurídica y Fe Pública de 3 de junio de 2021, sobre la tramitación del procedimiento de autorización de matrimonio ante notarios, que recoge los criterios de actuación del Notario cuando estos sean competentes, permite a los Notario</w:t>
      </w:r>
      <w:r w:rsidR="00417D3A" w:rsidRPr="00EE25D1">
        <w:rPr>
          <w:rFonts w:ascii="Calibri" w:hAnsi="Calibri"/>
          <w:color w:val="000000" w:themeColor="text1"/>
          <w:shd w:val="clear" w:color="auto" w:fill="FFFFFF"/>
        </w:rPr>
        <w:t>s</w:t>
      </w:r>
      <w:r w:rsidR="008616DA" w:rsidRPr="00EE25D1">
        <w:rPr>
          <w:rFonts w:ascii="Calibri" w:hAnsi="Calibri"/>
          <w:color w:val="000000" w:themeColor="text1"/>
          <w:shd w:val="clear" w:color="auto" w:fill="FFFFFF"/>
        </w:rPr>
        <w:t xml:space="preserve"> exigir a las personas que presenten una discapacidad que les impida prestar el consentimiento un informe médico sobre su aptitud para </w:t>
      </w:r>
      <w:r w:rsidR="006167F6" w:rsidRPr="00EE25D1">
        <w:rPr>
          <w:rFonts w:ascii="Calibri" w:hAnsi="Calibri"/>
          <w:color w:val="000000" w:themeColor="text1"/>
          <w:shd w:val="clear" w:color="auto" w:fill="FFFFFF"/>
        </w:rPr>
        <w:t>darlo</w:t>
      </w:r>
      <w:r w:rsidR="008616DA" w:rsidRPr="00EE25D1">
        <w:rPr>
          <w:rFonts w:ascii="Calibri" w:hAnsi="Calibri"/>
          <w:color w:val="000000" w:themeColor="text1"/>
          <w:shd w:val="clear" w:color="auto" w:fill="FFFFFF"/>
        </w:rPr>
        <w:t>, pudiendo el Notari</w:t>
      </w:r>
      <w:r w:rsidR="005E39FA" w:rsidRPr="00EE25D1">
        <w:rPr>
          <w:rFonts w:ascii="Calibri" w:hAnsi="Calibri"/>
          <w:color w:val="000000" w:themeColor="text1"/>
          <w:shd w:val="clear" w:color="auto" w:fill="FFFFFF"/>
        </w:rPr>
        <w:t>o no admitir a trámite la solicitud de incoación del expediente matrimonial si, tras ser requerido, el contrayente no aporta dicho documento. La imposición de estas trabas, que van más al</w:t>
      </w:r>
      <w:r w:rsidRPr="00EE25D1">
        <w:rPr>
          <w:rFonts w:ascii="Calibri" w:hAnsi="Calibri"/>
          <w:color w:val="000000" w:themeColor="text1"/>
          <w:shd w:val="clear" w:color="auto" w:fill="FFFFFF"/>
        </w:rPr>
        <w:t xml:space="preserve">lá de lo que exige el </w:t>
      </w:r>
      <w:r w:rsidR="0037190C" w:rsidRPr="00EE25D1">
        <w:rPr>
          <w:rFonts w:ascii="Calibri" w:hAnsi="Calibri"/>
        </w:rPr>
        <w:t>artículo</w:t>
      </w:r>
      <w:r w:rsidRPr="00EE25D1">
        <w:rPr>
          <w:rFonts w:ascii="Calibri" w:hAnsi="Calibri"/>
          <w:color w:val="000000" w:themeColor="text1"/>
          <w:shd w:val="clear" w:color="auto" w:fill="FFFFFF"/>
        </w:rPr>
        <w:t xml:space="preserve"> 56</w:t>
      </w:r>
      <w:r w:rsidR="005E39FA" w:rsidRPr="00EE25D1">
        <w:rPr>
          <w:rFonts w:ascii="Calibri" w:hAnsi="Calibri"/>
          <w:color w:val="000000" w:themeColor="text1"/>
          <w:shd w:val="clear" w:color="auto" w:fill="FFFFFF"/>
        </w:rPr>
        <w:t xml:space="preserve">, cercena los derechos de </w:t>
      </w:r>
      <w:r w:rsidR="00B26FC8" w:rsidRPr="00EE25D1">
        <w:rPr>
          <w:rFonts w:ascii="Calibri" w:hAnsi="Calibri"/>
          <w:color w:val="000000" w:themeColor="text1"/>
          <w:shd w:val="clear" w:color="auto" w:fill="FFFFFF"/>
        </w:rPr>
        <w:t>las personas con discapacidad. L</w:t>
      </w:r>
      <w:r w:rsidR="005E39FA" w:rsidRPr="00EE25D1">
        <w:rPr>
          <w:rFonts w:ascii="Calibri" w:hAnsi="Calibri"/>
          <w:color w:val="000000" w:themeColor="text1"/>
          <w:shd w:val="clear" w:color="auto" w:fill="FFFFFF"/>
        </w:rPr>
        <w:t xml:space="preserve">amentablemente, el acervo discriminatorio de la citada Instrucción no desemboca aquí, pues pese a concebirse el dictamen médico como una garantía de las personas con discapacidad que coadyuve a  evitar la vulneración del </w:t>
      </w:r>
      <w:r w:rsidR="005E39FA" w:rsidRPr="00EE25D1">
        <w:rPr>
          <w:rFonts w:ascii="Calibri" w:hAnsi="Calibri"/>
          <w:i/>
          <w:color w:val="000000" w:themeColor="text1"/>
          <w:shd w:val="clear" w:color="auto" w:fill="FFFFFF"/>
        </w:rPr>
        <w:t>ius nubendi</w:t>
      </w:r>
      <w:r w:rsidR="005E39FA" w:rsidRPr="00EE25D1">
        <w:rPr>
          <w:rFonts w:ascii="Calibri" w:hAnsi="Calibri"/>
          <w:color w:val="000000" w:themeColor="text1"/>
          <w:shd w:val="clear" w:color="auto" w:fill="FFFFFF"/>
        </w:rPr>
        <w:t>, la necesidad del mismo se convierte en potestativa para el Notario, disponiend</w:t>
      </w:r>
      <w:r w:rsidR="00417D3A" w:rsidRPr="00EE25D1">
        <w:rPr>
          <w:rFonts w:ascii="Calibri" w:hAnsi="Calibri"/>
          <w:color w:val="000000" w:themeColor="text1"/>
          <w:shd w:val="clear" w:color="auto" w:fill="FFFFFF"/>
        </w:rPr>
        <w:t xml:space="preserve">o </w:t>
      </w:r>
      <w:r w:rsidR="006F631D" w:rsidRPr="00EE25D1">
        <w:rPr>
          <w:rFonts w:ascii="Calibri" w:hAnsi="Calibri"/>
          <w:color w:val="000000" w:themeColor="text1"/>
          <w:shd w:val="clear" w:color="auto" w:fill="FFFFFF"/>
        </w:rPr>
        <w:t xml:space="preserve">el centro directivo </w:t>
      </w:r>
      <w:r w:rsidR="00417D3A" w:rsidRPr="00EE25D1">
        <w:rPr>
          <w:rFonts w:ascii="Calibri" w:hAnsi="Calibri"/>
          <w:color w:val="000000" w:themeColor="text1"/>
          <w:shd w:val="clear" w:color="auto" w:fill="FFFFFF"/>
        </w:rPr>
        <w:t xml:space="preserve">que, tras la valoración por </w:t>
      </w:r>
      <w:r w:rsidR="006F631D" w:rsidRPr="00EE25D1">
        <w:rPr>
          <w:rFonts w:ascii="Calibri" w:hAnsi="Calibri"/>
          <w:color w:val="000000" w:themeColor="text1"/>
          <w:shd w:val="clear" w:color="auto" w:fill="FFFFFF"/>
        </w:rPr>
        <w:t>fedatario público</w:t>
      </w:r>
      <w:r w:rsidR="005E39FA" w:rsidRPr="00EE25D1">
        <w:rPr>
          <w:rFonts w:ascii="Calibri" w:hAnsi="Calibri"/>
          <w:color w:val="000000" w:themeColor="text1"/>
          <w:shd w:val="clear" w:color="auto" w:fill="FFFFFF"/>
        </w:rPr>
        <w:t xml:space="preserve"> de </w:t>
      </w:r>
      <w:r w:rsidR="006F631D" w:rsidRPr="00EE25D1">
        <w:rPr>
          <w:rFonts w:ascii="Calibri" w:hAnsi="Calibri"/>
          <w:color w:val="000000" w:themeColor="text1"/>
          <w:shd w:val="clear" w:color="auto" w:fill="FFFFFF"/>
        </w:rPr>
        <w:t>las facultades</w:t>
      </w:r>
      <w:r w:rsidR="005E39FA" w:rsidRPr="00EE25D1">
        <w:rPr>
          <w:rFonts w:ascii="Calibri" w:hAnsi="Calibri"/>
          <w:color w:val="000000" w:themeColor="text1"/>
          <w:shd w:val="clear" w:color="auto" w:fill="FFFFFF"/>
        </w:rPr>
        <w:t xml:space="preserve"> de los contrayentes, aquel </w:t>
      </w:r>
      <w:r w:rsidR="00CB0662" w:rsidRPr="00EE25D1">
        <w:rPr>
          <w:rFonts w:ascii="Calibri" w:hAnsi="Calibri"/>
          <w:color w:val="000000" w:themeColor="text1"/>
          <w:shd w:val="clear" w:color="auto" w:fill="FFFFFF"/>
        </w:rPr>
        <w:t>podrá recabar</w:t>
      </w:r>
      <w:r w:rsidR="005E39FA" w:rsidRPr="00EE25D1">
        <w:rPr>
          <w:rFonts w:ascii="Calibri" w:hAnsi="Calibri"/>
          <w:color w:val="000000" w:themeColor="text1"/>
          <w:shd w:val="clear" w:color="auto" w:fill="FFFFFF"/>
        </w:rPr>
        <w:t xml:space="preserve"> el informe pericial médico dirimente sobre la capacidad</w:t>
      </w:r>
      <w:r w:rsidR="00417D3A" w:rsidRPr="00EE25D1">
        <w:rPr>
          <w:rFonts w:ascii="Calibri" w:hAnsi="Calibri"/>
          <w:color w:val="000000" w:themeColor="text1"/>
          <w:shd w:val="clear" w:color="auto" w:fill="FFFFFF"/>
        </w:rPr>
        <w:t xml:space="preserve"> solo si lo estima necesario</w:t>
      </w:r>
      <w:r w:rsidR="000902C9" w:rsidRPr="00EE25D1">
        <w:rPr>
          <w:rStyle w:val="Refdenotaalpie"/>
          <w:rFonts w:ascii="Calibri" w:hAnsi="Calibri"/>
          <w:color w:val="000000" w:themeColor="text1"/>
          <w:shd w:val="clear" w:color="auto" w:fill="FFFFFF"/>
        </w:rPr>
        <w:footnoteReference w:id="36"/>
      </w:r>
      <w:r w:rsidR="00417D3A" w:rsidRPr="00EE25D1">
        <w:rPr>
          <w:rFonts w:ascii="Calibri" w:hAnsi="Calibri"/>
          <w:color w:val="000000" w:themeColor="text1"/>
          <w:shd w:val="clear" w:color="auto" w:fill="FFFFFF"/>
        </w:rPr>
        <w:t xml:space="preserve">. </w:t>
      </w:r>
      <w:r w:rsidR="005E39FA" w:rsidRPr="00EE25D1">
        <w:rPr>
          <w:rFonts w:ascii="Calibri" w:hAnsi="Calibri"/>
          <w:color w:val="000000" w:themeColor="text1"/>
          <w:shd w:val="clear" w:color="auto" w:fill="FFFFFF"/>
        </w:rPr>
        <w:t>La Instrucción olvida que la petición del dictamen, más que una potestad, es una obligación del encargando de tramitar el expediente matrimonial a fin de que la denegación</w:t>
      </w:r>
      <w:r w:rsidR="00ED4177" w:rsidRPr="00EE25D1">
        <w:rPr>
          <w:rFonts w:ascii="Calibri" w:hAnsi="Calibri"/>
          <w:color w:val="000000" w:themeColor="text1"/>
          <w:shd w:val="clear" w:color="auto" w:fill="FFFFFF"/>
        </w:rPr>
        <w:t xml:space="preserve"> de autorización</w:t>
      </w:r>
      <w:r w:rsidR="005E39FA" w:rsidRPr="00EE25D1">
        <w:rPr>
          <w:rFonts w:ascii="Calibri" w:hAnsi="Calibri"/>
          <w:color w:val="000000" w:themeColor="text1"/>
          <w:shd w:val="clear" w:color="auto" w:fill="FFFFFF"/>
        </w:rPr>
        <w:t xml:space="preserve"> del matrimonio no presente ningún atisbo de duda conforme al principio </w:t>
      </w:r>
      <w:r w:rsidR="005E39FA" w:rsidRPr="00EE25D1">
        <w:rPr>
          <w:rFonts w:ascii="Calibri" w:hAnsi="Calibri"/>
          <w:i/>
          <w:color w:val="000000" w:themeColor="text1"/>
          <w:shd w:val="clear" w:color="auto" w:fill="FFFFFF"/>
        </w:rPr>
        <w:t>favor matrimonii</w:t>
      </w:r>
      <w:r w:rsidR="00CB0662" w:rsidRPr="00EE25D1">
        <w:rPr>
          <w:rStyle w:val="Refdenotaalpie"/>
          <w:rFonts w:ascii="Calibri" w:hAnsi="Calibri"/>
          <w:i/>
          <w:color w:val="000000" w:themeColor="text1"/>
          <w:shd w:val="clear" w:color="auto" w:fill="FFFFFF"/>
        </w:rPr>
        <w:footnoteReference w:id="37"/>
      </w:r>
      <w:r w:rsidR="005E39FA" w:rsidRPr="00EE25D1">
        <w:rPr>
          <w:rFonts w:ascii="Calibri" w:hAnsi="Calibri"/>
          <w:color w:val="000000" w:themeColor="text1"/>
          <w:shd w:val="clear" w:color="auto" w:fill="FFFFFF"/>
        </w:rPr>
        <w:t>.</w:t>
      </w:r>
      <w:r w:rsidR="00ED4177" w:rsidRPr="00EE25D1">
        <w:rPr>
          <w:rFonts w:ascii="Calibri" w:hAnsi="Calibri"/>
          <w:color w:val="000000" w:themeColor="text1"/>
          <w:shd w:val="clear" w:color="auto" w:fill="FFFFFF"/>
        </w:rPr>
        <w:t xml:space="preserve"> Es decir, si el contrayente no puede prestar el consentimiento pese a </w:t>
      </w:r>
      <w:r w:rsidR="006B7FB1" w:rsidRPr="00EE25D1">
        <w:rPr>
          <w:rFonts w:ascii="Calibri" w:hAnsi="Calibri"/>
          <w:color w:val="000000" w:themeColor="text1"/>
          <w:shd w:val="clear" w:color="auto" w:fill="FFFFFF"/>
        </w:rPr>
        <w:t>las medidas de apoyo no se podrá</w:t>
      </w:r>
      <w:r w:rsidR="00ED4177" w:rsidRPr="00EE25D1">
        <w:rPr>
          <w:rFonts w:ascii="Calibri" w:hAnsi="Calibri"/>
          <w:color w:val="000000" w:themeColor="text1"/>
          <w:shd w:val="clear" w:color="auto" w:fill="FFFFFF"/>
        </w:rPr>
        <w:t xml:space="preserve"> denegar, sin más, la autorización del matrimonio, sino que se tendrá recabar dictamen médico, tratándose de una diligencia imperativ</w:t>
      </w:r>
      <w:r w:rsidR="006B7FB1" w:rsidRPr="00EE25D1">
        <w:rPr>
          <w:rFonts w:ascii="Calibri" w:hAnsi="Calibri"/>
          <w:color w:val="000000" w:themeColor="text1"/>
          <w:shd w:val="clear" w:color="auto" w:fill="FFFFFF"/>
        </w:rPr>
        <w:t>a para el Notario, sin que pueda</w:t>
      </w:r>
      <w:r w:rsidR="00ED4177" w:rsidRPr="00EE25D1">
        <w:rPr>
          <w:rFonts w:ascii="Calibri" w:hAnsi="Calibri"/>
          <w:color w:val="000000" w:themeColor="text1"/>
          <w:shd w:val="clear" w:color="auto" w:fill="FFFFFF"/>
        </w:rPr>
        <w:t xml:space="preserve"> inhibirse en dicha solicitud, pues el dictamen se erige como el último bastión de los derechos de las personas con discapacidad, teniendo como fin lograr la convicción de que, detrás de toda denegación de autorización del matrimonio, hay una prueba pericial que lo avala.</w:t>
      </w:r>
    </w:p>
    <w:p w:rsidR="00421FB2" w:rsidRPr="00EE25D1" w:rsidRDefault="000902C9"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Sumergiéndonos, someramente, en la potencialidad decisoria del dictamen médico, </w:t>
      </w:r>
      <w:r w:rsidR="00421FB2" w:rsidRPr="00EE25D1">
        <w:rPr>
          <w:rFonts w:ascii="Calibri" w:hAnsi="Calibri"/>
          <w:color w:val="000000" w:themeColor="text1"/>
          <w:shd w:val="clear" w:color="auto" w:fill="FFFFFF"/>
        </w:rPr>
        <w:t xml:space="preserve">la RDGRN 1 diciembre 1987, dijo que el dictamen no es vinculante para el instructor del expediente, de modo que este podía autorizar el matrimonio pese al sentido negativo del dictamen, y a la inversa, denegar la autorización pese al aval del facultativo; todo ello sin </w:t>
      </w:r>
      <w:r w:rsidR="00ED4177" w:rsidRPr="00EE25D1">
        <w:rPr>
          <w:rFonts w:ascii="Calibri" w:hAnsi="Calibri"/>
          <w:color w:val="000000" w:themeColor="text1"/>
          <w:shd w:val="clear" w:color="auto" w:fill="FFFFFF"/>
        </w:rPr>
        <w:t>perjuicio</w:t>
      </w:r>
      <w:r w:rsidR="00421FB2" w:rsidRPr="00EE25D1">
        <w:rPr>
          <w:rFonts w:ascii="Calibri" w:hAnsi="Calibri"/>
          <w:color w:val="000000" w:themeColor="text1"/>
          <w:shd w:val="clear" w:color="auto" w:fill="FFFFFF"/>
        </w:rPr>
        <w:t xml:space="preserve">, remitiéndonos a la RDGRN 9 octubre 1993, </w:t>
      </w:r>
      <w:r w:rsidR="006B7FB1" w:rsidRPr="00EE25D1">
        <w:rPr>
          <w:rFonts w:ascii="Calibri" w:hAnsi="Calibri"/>
          <w:color w:val="000000" w:themeColor="text1"/>
          <w:shd w:val="clear" w:color="auto" w:fill="FFFFFF"/>
        </w:rPr>
        <w:t xml:space="preserve">de </w:t>
      </w:r>
      <w:r w:rsidR="00421FB2" w:rsidRPr="00EE25D1">
        <w:rPr>
          <w:rFonts w:ascii="Calibri" w:hAnsi="Calibri"/>
          <w:color w:val="000000" w:themeColor="text1"/>
          <w:shd w:val="clear" w:color="auto" w:fill="FFFFFF"/>
        </w:rPr>
        <w:t>que</w:t>
      </w:r>
      <w:r w:rsidR="00E71238" w:rsidRPr="00EE25D1">
        <w:rPr>
          <w:rFonts w:ascii="Calibri" w:hAnsi="Calibri"/>
          <w:color w:val="000000" w:themeColor="text1"/>
          <w:shd w:val="clear" w:color="auto" w:fill="FFFFFF"/>
        </w:rPr>
        <w:t>,</w:t>
      </w:r>
      <w:r w:rsidR="00421FB2" w:rsidRPr="00EE25D1">
        <w:rPr>
          <w:rFonts w:ascii="Calibri" w:hAnsi="Calibri"/>
          <w:color w:val="000000" w:themeColor="text1"/>
          <w:shd w:val="clear" w:color="auto" w:fill="FFFFFF"/>
        </w:rPr>
        <w:t xml:space="preserve"> ante la duda</w:t>
      </w:r>
      <w:r w:rsidR="00E71238" w:rsidRPr="00EE25D1">
        <w:rPr>
          <w:rFonts w:ascii="Calibri" w:hAnsi="Calibri"/>
          <w:color w:val="000000" w:themeColor="text1"/>
          <w:shd w:val="clear" w:color="auto" w:fill="FFFFFF"/>
        </w:rPr>
        <w:t>,</w:t>
      </w:r>
      <w:r w:rsidR="00421FB2" w:rsidRPr="00EE25D1">
        <w:rPr>
          <w:rFonts w:ascii="Calibri" w:hAnsi="Calibri"/>
          <w:color w:val="000000" w:themeColor="text1"/>
          <w:shd w:val="clear" w:color="auto" w:fill="FFFFFF"/>
        </w:rPr>
        <w:t xml:space="preserve"> se debe autorizar el matrimonio para garantizar el </w:t>
      </w:r>
      <w:r w:rsidR="006B7FB1" w:rsidRPr="00EE25D1">
        <w:rPr>
          <w:rFonts w:ascii="Calibri" w:hAnsi="Calibri"/>
          <w:i/>
          <w:color w:val="000000" w:themeColor="text1"/>
          <w:shd w:val="clear" w:color="auto" w:fill="FFFFFF"/>
        </w:rPr>
        <w:t>ius connubii</w:t>
      </w:r>
      <w:r w:rsidR="00421FB2" w:rsidRPr="00EE25D1">
        <w:rPr>
          <w:rFonts w:ascii="Calibri" w:hAnsi="Calibri"/>
          <w:color w:val="000000" w:themeColor="text1"/>
          <w:shd w:val="clear" w:color="auto" w:fill="FFFFFF"/>
        </w:rPr>
        <w:t xml:space="preserve">, ya que cualquier limitación del mismo debe fundamentarse en una </w:t>
      </w:r>
      <w:r w:rsidR="00713CC7" w:rsidRPr="00EE25D1">
        <w:rPr>
          <w:rFonts w:ascii="Calibri" w:hAnsi="Calibri"/>
          <w:color w:val="000000" w:themeColor="text1"/>
          <w:shd w:val="clear" w:color="auto" w:fill="FFFFFF"/>
        </w:rPr>
        <w:t>“</w:t>
      </w:r>
      <w:r w:rsidR="00421FB2" w:rsidRPr="00EE25D1">
        <w:rPr>
          <w:rFonts w:ascii="Calibri" w:hAnsi="Calibri"/>
          <w:color w:val="000000" w:themeColor="text1"/>
          <w:shd w:val="clear" w:color="auto" w:fill="FFFFFF"/>
        </w:rPr>
        <w:t>certeza racional absoluta del obstáculo o impedimento legal</w:t>
      </w:r>
      <w:r w:rsidR="00713CC7" w:rsidRPr="00EE25D1">
        <w:rPr>
          <w:rFonts w:ascii="Calibri" w:hAnsi="Calibri"/>
          <w:color w:val="000000" w:themeColor="text1"/>
          <w:shd w:val="clear" w:color="auto" w:fill="FFFFFF"/>
        </w:rPr>
        <w:t>”</w:t>
      </w:r>
      <w:r w:rsidR="00421FB2" w:rsidRPr="00EE25D1">
        <w:rPr>
          <w:rFonts w:ascii="Calibri" w:hAnsi="Calibri"/>
          <w:color w:val="000000" w:themeColor="text1"/>
          <w:shd w:val="clear" w:color="auto" w:fill="FFFFFF"/>
        </w:rPr>
        <w:t>.</w:t>
      </w:r>
    </w:p>
    <w:p w:rsidR="000902C9" w:rsidRPr="00EE25D1" w:rsidRDefault="00421FB2"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A</w:t>
      </w:r>
      <w:r w:rsidR="000902C9" w:rsidRPr="00EE25D1">
        <w:rPr>
          <w:rFonts w:ascii="Calibri" w:hAnsi="Calibri"/>
          <w:color w:val="000000" w:themeColor="text1"/>
          <w:shd w:val="clear" w:color="auto" w:fill="FFFFFF"/>
        </w:rPr>
        <w:t xml:space="preserve"> nuestro juicio</w:t>
      </w:r>
      <w:r w:rsidR="006F631D" w:rsidRPr="00EE25D1">
        <w:rPr>
          <w:rFonts w:ascii="Calibri" w:hAnsi="Calibri"/>
          <w:color w:val="000000" w:themeColor="text1"/>
          <w:shd w:val="clear" w:color="auto" w:fill="FFFFFF"/>
        </w:rPr>
        <w:t>,</w:t>
      </w:r>
      <w:r w:rsidR="000902C9" w:rsidRPr="00EE25D1">
        <w:rPr>
          <w:rFonts w:ascii="Calibri" w:hAnsi="Calibri"/>
          <w:color w:val="000000" w:themeColor="text1"/>
          <w:shd w:val="clear" w:color="auto" w:fill="FFFFFF"/>
        </w:rPr>
        <w:t xml:space="preserve"> cabe sostener que</w:t>
      </w:r>
      <w:r w:rsidR="006B7FB1" w:rsidRPr="00EE25D1">
        <w:rPr>
          <w:rFonts w:ascii="Calibri" w:hAnsi="Calibri"/>
          <w:color w:val="000000" w:themeColor="text1"/>
          <w:shd w:val="clear" w:color="auto" w:fill="FFFFFF"/>
        </w:rPr>
        <w:t>,</w:t>
      </w:r>
      <w:r w:rsidR="000902C9" w:rsidRPr="00EE25D1">
        <w:rPr>
          <w:rFonts w:ascii="Calibri" w:hAnsi="Calibri"/>
          <w:color w:val="000000" w:themeColor="text1"/>
          <w:shd w:val="clear" w:color="auto" w:fill="FFFFFF"/>
        </w:rPr>
        <w:t xml:space="preserve"> si el médico aboga por</w:t>
      </w:r>
      <w:r w:rsidR="006B7FB1" w:rsidRPr="00EE25D1">
        <w:rPr>
          <w:rFonts w:ascii="Calibri" w:hAnsi="Calibri"/>
          <w:color w:val="000000" w:themeColor="text1"/>
          <w:shd w:val="clear" w:color="auto" w:fill="FFFFFF"/>
        </w:rPr>
        <w:t xml:space="preserve"> </w:t>
      </w:r>
      <w:r w:rsidR="000902C9" w:rsidRPr="00EE25D1">
        <w:rPr>
          <w:rFonts w:ascii="Calibri" w:hAnsi="Calibri"/>
          <w:color w:val="000000" w:themeColor="text1"/>
          <w:shd w:val="clear" w:color="auto" w:fill="FFFFFF"/>
        </w:rPr>
        <w:t>que el contrayente con discapacidad tiene aptitud para contraer matrimonio</w:t>
      </w:r>
      <w:r w:rsidR="006B7FB1" w:rsidRPr="00EE25D1">
        <w:rPr>
          <w:rFonts w:ascii="Calibri" w:hAnsi="Calibri"/>
          <w:color w:val="000000" w:themeColor="text1"/>
          <w:shd w:val="clear" w:color="auto" w:fill="FFFFFF"/>
        </w:rPr>
        <w:t>,</w:t>
      </w:r>
      <w:r w:rsidR="000902C9" w:rsidRPr="00EE25D1">
        <w:rPr>
          <w:rFonts w:ascii="Calibri" w:hAnsi="Calibri"/>
          <w:color w:val="000000" w:themeColor="text1"/>
          <w:shd w:val="clear" w:color="auto" w:fill="FFFFFF"/>
        </w:rPr>
        <w:t xml:space="preserve"> el encargado no podrá denegar la autorización, salvo que, en relación al otro contrayente, aprecie algú</w:t>
      </w:r>
      <w:r w:rsidR="00C01098" w:rsidRPr="00EE25D1">
        <w:rPr>
          <w:rFonts w:ascii="Calibri" w:hAnsi="Calibri"/>
          <w:color w:val="000000" w:themeColor="text1"/>
          <w:shd w:val="clear" w:color="auto" w:fill="FFFFFF"/>
        </w:rPr>
        <w:t>n tipo de reserva mental u otra</w:t>
      </w:r>
      <w:r w:rsidR="000902C9" w:rsidRPr="00EE25D1">
        <w:rPr>
          <w:rFonts w:ascii="Calibri" w:hAnsi="Calibri"/>
          <w:color w:val="000000" w:themeColor="text1"/>
          <w:shd w:val="clear" w:color="auto" w:fill="FFFFFF"/>
        </w:rPr>
        <w:t xml:space="preserve"> circunstancia análoga. Generalmente, siempre que el dictamen médico es favorable</w:t>
      </w:r>
      <w:r w:rsidR="006F631D" w:rsidRPr="00EE25D1">
        <w:rPr>
          <w:rFonts w:ascii="Calibri" w:hAnsi="Calibri"/>
          <w:color w:val="000000" w:themeColor="text1"/>
          <w:shd w:val="clear" w:color="auto" w:fill="FFFFFF"/>
        </w:rPr>
        <w:t xml:space="preserve"> en orden al </w:t>
      </w:r>
      <w:r w:rsidR="006F631D" w:rsidRPr="00EE25D1">
        <w:rPr>
          <w:rFonts w:ascii="Calibri" w:hAnsi="Calibri"/>
          <w:i/>
          <w:color w:val="000000" w:themeColor="text1"/>
          <w:shd w:val="clear" w:color="auto" w:fill="FFFFFF"/>
        </w:rPr>
        <w:t>ius nubendi</w:t>
      </w:r>
      <w:r w:rsidR="006F631D" w:rsidRPr="00EE25D1">
        <w:rPr>
          <w:rFonts w:ascii="Calibri" w:hAnsi="Calibri"/>
          <w:color w:val="000000" w:themeColor="text1"/>
          <w:shd w:val="clear" w:color="auto" w:fill="FFFFFF"/>
        </w:rPr>
        <w:t xml:space="preserve"> del </w:t>
      </w:r>
      <w:r w:rsidR="00241543" w:rsidRPr="00EE25D1">
        <w:rPr>
          <w:rFonts w:ascii="Calibri" w:hAnsi="Calibri"/>
          <w:color w:val="000000" w:themeColor="text1"/>
          <w:shd w:val="clear" w:color="auto" w:fill="FFFFFF"/>
        </w:rPr>
        <w:t>contrayente con discapacidad, la DGRN ha sido proclive a su autorización, con alguna rara excepción</w:t>
      </w:r>
      <w:r w:rsidR="00ED4177" w:rsidRPr="00EE25D1">
        <w:rPr>
          <w:rFonts w:ascii="Calibri" w:hAnsi="Calibri"/>
          <w:color w:val="000000" w:themeColor="text1"/>
          <w:shd w:val="clear" w:color="auto" w:fill="FFFFFF"/>
        </w:rPr>
        <w:t>,</w:t>
      </w:r>
      <w:r w:rsidR="00241543" w:rsidRPr="00EE25D1">
        <w:rPr>
          <w:rFonts w:ascii="Calibri" w:hAnsi="Calibri"/>
          <w:color w:val="000000" w:themeColor="text1"/>
          <w:shd w:val="clear" w:color="auto" w:fill="FFFFFF"/>
        </w:rPr>
        <w:t xml:space="preserve"> como el caso que desembocó en la RDGRN 2 junio 1999, donde una mujer, incapacitada judicialmente, que deseaba contraer matrimonio, presentaba un retraso mental, con una edad mental entre siete y once años. Solicitado el examen del médico forense</w:t>
      </w:r>
      <w:r w:rsidR="006F631D" w:rsidRPr="00EE25D1">
        <w:rPr>
          <w:rFonts w:ascii="Calibri" w:hAnsi="Calibri"/>
          <w:color w:val="000000" w:themeColor="text1"/>
          <w:shd w:val="clear" w:color="auto" w:fill="FFFFFF"/>
        </w:rPr>
        <w:t>, este evacuó</w:t>
      </w:r>
      <w:r w:rsidR="00241543" w:rsidRPr="00EE25D1">
        <w:rPr>
          <w:rFonts w:ascii="Calibri" w:hAnsi="Calibri"/>
          <w:color w:val="000000" w:themeColor="text1"/>
          <w:shd w:val="clear" w:color="auto" w:fill="FFFFFF"/>
        </w:rPr>
        <w:t xml:space="preserve"> un informe afirmando que, pese al retraso mental, la interesada presentaba </w:t>
      </w:r>
      <w:r w:rsidR="00713CC7" w:rsidRPr="00EE25D1">
        <w:rPr>
          <w:rFonts w:ascii="Calibri" w:hAnsi="Calibri"/>
          <w:color w:val="000000" w:themeColor="text1"/>
          <w:shd w:val="clear" w:color="auto" w:fill="FFFFFF"/>
        </w:rPr>
        <w:t>“</w:t>
      </w:r>
      <w:r w:rsidR="00241543" w:rsidRPr="00EE25D1">
        <w:rPr>
          <w:rFonts w:ascii="Calibri" w:hAnsi="Calibri"/>
          <w:color w:val="000000" w:themeColor="text1"/>
          <w:shd w:val="clear" w:color="auto" w:fill="FFFFFF"/>
        </w:rPr>
        <w:t>una limitación afectiva muy ligera que le permite tener aptitud para prestar el consentimiento matrimonial</w:t>
      </w:r>
      <w:r w:rsidR="00713CC7" w:rsidRPr="00EE25D1">
        <w:rPr>
          <w:rFonts w:ascii="Calibri" w:hAnsi="Calibri"/>
          <w:color w:val="000000" w:themeColor="text1"/>
          <w:shd w:val="clear" w:color="auto" w:fill="FFFFFF"/>
        </w:rPr>
        <w:t>”</w:t>
      </w:r>
      <w:r w:rsidR="00241543" w:rsidRPr="00EE25D1">
        <w:rPr>
          <w:rFonts w:ascii="Calibri" w:hAnsi="Calibri"/>
          <w:color w:val="000000" w:themeColor="text1"/>
          <w:shd w:val="clear" w:color="auto" w:fill="FFFFFF"/>
        </w:rPr>
        <w:t>. A pesar de ello, el centro directivo confirmó el auto del encargado denegando la autorización del matrimonio. Cab</w:t>
      </w:r>
      <w:r w:rsidR="000D4C31" w:rsidRPr="00EE25D1">
        <w:rPr>
          <w:rFonts w:ascii="Calibri" w:hAnsi="Calibri"/>
          <w:color w:val="000000" w:themeColor="text1"/>
          <w:shd w:val="clear" w:color="auto" w:fill="FFFFFF"/>
        </w:rPr>
        <w:t>ría</w:t>
      </w:r>
      <w:r w:rsidR="00241543" w:rsidRPr="00EE25D1">
        <w:rPr>
          <w:rFonts w:ascii="Calibri" w:hAnsi="Calibri"/>
          <w:color w:val="000000" w:themeColor="text1"/>
          <w:shd w:val="clear" w:color="auto" w:fill="FFFFFF"/>
        </w:rPr>
        <w:t xml:space="preserve"> preguntarse si, fijada actualmente la edad núbil en dieciochos años, que puede rebaja</w:t>
      </w:r>
      <w:r w:rsidR="006B7FB1" w:rsidRPr="00EE25D1">
        <w:rPr>
          <w:rFonts w:ascii="Calibri" w:hAnsi="Calibri"/>
          <w:color w:val="000000" w:themeColor="text1"/>
          <w:shd w:val="clear" w:color="auto" w:fill="FFFFFF"/>
        </w:rPr>
        <w:t>r</w:t>
      </w:r>
      <w:r w:rsidR="00241543" w:rsidRPr="00EE25D1">
        <w:rPr>
          <w:rFonts w:ascii="Calibri" w:hAnsi="Calibri"/>
          <w:color w:val="000000" w:themeColor="text1"/>
          <w:shd w:val="clear" w:color="auto" w:fill="FFFFFF"/>
        </w:rPr>
        <w:t>se a dieciséis si el menor está emancipado, se podría autorizar un matrimonio en el que el contrayente con discapacidad presen</w:t>
      </w:r>
      <w:r w:rsidRPr="00EE25D1">
        <w:rPr>
          <w:rFonts w:ascii="Calibri" w:hAnsi="Calibri"/>
          <w:color w:val="000000" w:themeColor="text1"/>
          <w:shd w:val="clear" w:color="auto" w:fill="FFFFFF"/>
        </w:rPr>
        <w:t>ta</w:t>
      </w:r>
      <w:r w:rsidR="00241543" w:rsidRPr="00EE25D1">
        <w:rPr>
          <w:rFonts w:ascii="Calibri" w:hAnsi="Calibri"/>
          <w:color w:val="000000" w:themeColor="text1"/>
          <w:shd w:val="clear" w:color="auto" w:fill="FFFFFF"/>
        </w:rPr>
        <w:t xml:space="preserve"> una edad mental entre catorce y dieciséis años. </w:t>
      </w:r>
    </w:p>
    <w:p w:rsidR="00A14762" w:rsidRPr="00EE25D1" w:rsidRDefault="000D4C31"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Ahora plantearemos la relevancia del dictamen desde el prisma opuesto, esto es, si habiendo advertido el médico forense que el contrayente no tiene aptitud para prestar el consentimiento matrimonial, el encargado puede desligarse de la prueba pericial y autorizar el matrimonio.</w:t>
      </w:r>
      <w:r w:rsidR="00FC60DA" w:rsidRPr="00EE25D1">
        <w:rPr>
          <w:rFonts w:ascii="Calibri" w:hAnsi="Calibri"/>
          <w:color w:val="000000" w:themeColor="text1"/>
          <w:shd w:val="clear" w:color="auto" w:fill="FFFFFF"/>
        </w:rPr>
        <w:t xml:space="preserve"> Sin perjuicio de que suscribimos la afirmación de Berrocal Lanzarot de que</w:t>
      </w:r>
      <w:r w:rsidR="00ED4177" w:rsidRPr="00EE25D1">
        <w:rPr>
          <w:rFonts w:ascii="Calibri" w:hAnsi="Calibri"/>
          <w:color w:val="000000" w:themeColor="text1"/>
          <w:shd w:val="clear" w:color="auto" w:fill="FFFFFF"/>
        </w:rPr>
        <w:t xml:space="preserve"> el dictamen médico no vincula</w:t>
      </w:r>
      <w:r w:rsidR="00FC60DA" w:rsidRPr="00EE25D1">
        <w:rPr>
          <w:rFonts w:ascii="Calibri" w:hAnsi="Calibri"/>
          <w:color w:val="000000" w:themeColor="text1"/>
          <w:shd w:val="clear" w:color="auto" w:fill="FFFFFF"/>
        </w:rPr>
        <w:t xml:space="preserve"> al encargado y que este debe guiarse por el criterio de</w:t>
      </w:r>
      <w:r w:rsidR="006B7FB1" w:rsidRPr="00EE25D1">
        <w:rPr>
          <w:rFonts w:ascii="Calibri" w:hAnsi="Calibri"/>
          <w:color w:val="000000" w:themeColor="text1"/>
          <w:shd w:val="clear" w:color="auto" w:fill="FFFFFF"/>
        </w:rPr>
        <w:t>l</w:t>
      </w:r>
      <w:r w:rsidR="00FC60DA" w:rsidRPr="00EE25D1">
        <w:rPr>
          <w:rFonts w:ascii="Calibri" w:hAnsi="Calibri"/>
          <w:color w:val="000000" w:themeColor="text1"/>
          <w:shd w:val="clear" w:color="auto" w:fill="FFFFFF"/>
        </w:rPr>
        <w:t xml:space="preserve"> </w:t>
      </w:r>
      <w:r w:rsidR="00FC60DA" w:rsidRPr="00EE25D1">
        <w:rPr>
          <w:rFonts w:ascii="Calibri" w:hAnsi="Calibri"/>
          <w:i/>
          <w:color w:val="000000" w:themeColor="text1"/>
          <w:shd w:val="clear" w:color="auto" w:fill="FFFFFF"/>
        </w:rPr>
        <w:t>favor matrimonii</w:t>
      </w:r>
      <w:r w:rsidR="00FC60DA" w:rsidRPr="00EE25D1">
        <w:rPr>
          <w:rFonts w:ascii="Calibri" w:hAnsi="Calibri"/>
          <w:color w:val="000000" w:themeColor="text1"/>
          <w:shd w:val="clear" w:color="auto" w:fill="FFFFFF"/>
        </w:rPr>
        <w:t xml:space="preserve">, el interés de los contrayentes y, no menos importante, el derecho al </w:t>
      </w:r>
      <w:r w:rsidR="00FC60DA" w:rsidRPr="00EE25D1">
        <w:rPr>
          <w:rFonts w:ascii="Calibri" w:hAnsi="Calibri"/>
          <w:i/>
          <w:color w:val="000000" w:themeColor="text1"/>
          <w:shd w:val="clear" w:color="auto" w:fill="FFFFFF"/>
        </w:rPr>
        <w:t>ius nubendi</w:t>
      </w:r>
      <w:r w:rsidR="00FC60DA" w:rsidRPr="00EE25D1">
        <w:rPr>
          <w:rFonts w:ascii="Calibri" w:hAnsi="Calibri"/>
          <w:color w:val="000000" w:themeColor="text1"/>
          <w:shd w:val="clear" w:color="auto" w:fill="FFFFFF"/>
        </w:rPr>
        <w:t xml:space="preserve"> de la persona con discapacidad</w:t>
      </w:r>
      <w:r w:rsidR="00FC60DA" w:rsidRPr="00EE25D1">
        <w:rPr>
          <w:rStyle w:val="Refdenotaalpie"/>
          <w:rFonts w:ascii="Calibri" w:hAnsi="Calibri"/>
          <w:color w:val="000000" w:themeColor="text1"/>
          <w:shd w:val="clear" w:color="auto" w:fill="FFFFFF"/>
        </w:rPr>
        <w:footnoteReference w:id="38"/>
      </w:r>
      <w:r w:rsidR="00FC60DA" w:rsidRPr="00EE25D1">
        <w:rPr>
          <w:rFonts w:ascii="Calibri" w:hAnsi="Calibri"/>
          <w:color w:val="000000" w:themeColor="text1"/>
          <w:shd w:val="clear" w:color="auto" w:fill="FFFFFF"/>
        </w:rPr>
        <w:t>, c</w:t>
      </w:r>
      <w:r w:rsidR="00C71F23" w:rsidRPr="00EE25D1">
        <w:rPr>
          <w:rFonts w:ascii="Calibri" w:hAnsi="Calibri"/>
          <w:color w:val="000000" w:themeColor="text1"/>
          <w:shd w:val="clear" w:color="auto" w:fill="FFFFFF"/>
        </w:rPr>
        <w:t xml:space="preserve">iertamente, el </w:t>
      </w:r>
      <w:r w:rsidR="0037190C" w:rsidRPr="00EE25D1">
        <w:rPr>
          <w:rFonts w:ascii="Calibri" w:hAnsi="Calibri"/>
        </w:rPr>
        <w:t>artículo</w:t>
      </w:r>
      <w:r w:rsidR="00C71F23" w:rsidRPr="00EE25D1">
        <w:rPr>
          <w:rFonts w:ascii="Calibri" w:hAnsi="Calibri"/>
          <w:color w:val="000000" w:themeColor="text1"/>
          <w:shd w:val="clear" w:color="auto" w:fill="FFFFFF"/>
        </w:rPr>
        <w:t xml:space="preserve"> 56 </w:t>
      </w:r>
      <w:r w:rsidR="00C71F23" w:rsidRPr="00EE25D1">
        <w:rPr>
          <w:rFonts w:ascii="Calibri" w:hAnsi="Calibri"/>
        </w:rPr>
        <w:t>del Código Civil</w:t>
      </w:r>
      <w:r w:rsidRPr="00EE25D1">
        <w:rPr>
          <w:rFonts w:ascii="Calibri" w:hAnsi="Calibri"/>
          <w:color w:val="000000" w:themeColor="text1"/>
          <w:shd w:val="clear" w:color="auto" w:fill="FFFFFF"/>
        </w:rPr>
        <w:t xml:space="preserve"> dej</w:t>
      </w:r>
      <w:r w:rsidR="00ED4177" w:rsidRPr="00EE25D1">
        <w:rPr>
          <w:rFonts w:ascii="Calibri" w:hAnsi="Calibri"/>
          <w:color w:val="000000" w:themeColor="text1"/>
          <w:shd w:val="clear" w:color="auto" w:fill="FFFFFF"/>
        </w:rPr>
        <w:t>a poco margen al encargado pues</w:t>
      </w:r>
      <w:r w:rsidRPr="00EE25D1">
        <w:rPr>
          <w:rFonts w:ascii="Calibri" w:hAnsi="Calibri"/>
          <w:color w:val="000000" w:themeColor="text1"/>
          <w:shd w:val="clear" w:color="auto" w:fill="FFFFFF"/>
        </w:rPr>
        <w:t xml:space="preserve"> si este solicitó el dictamen médico porque comprobó personalmente que la persona con discapacidad, de modo evidente, categórico y sustancial, no tenía aptitud para prestar el consentimiento matrimonial, pese al apoyo, dudosamente aque</w:t>
      </w:r>
      <w:r w:rsidR="00FC60DA" w:rsidRPr="00EE25D1">
        <w:rPr>
          <w:rFonts w:ascii="Calibri" w:hAnsi="Calibri"/>
          <w:color w:val="000000" w:themeColor="text1"/>
          <w:shd w:val="clear" w:color="auto" w:fill="FFFFFF"/>
        </w:rPr>
        <w:t xml:space="preserve">l podrá cambiar de criterio si </w:t>
      </w:r>
      <w:r w:rsidRPr="00EE25D1">
        <w:rPr>
          <w:rFonts w:ascii="Calibri" w:hAnsi="Calibri"/>
          <w:color w:val="000000" w:themeColor="text1"/>
          <w:shd w:val="clear" w:color="auto" w:fill="FFFFFF"/>
        </w:rPr>
        <w:t>la prueba pericial confirma la falta de aptitud</w:t>
      </w:r>
      <w:r w:rsidR="00D8452C" w:rsidRPr="00EE25D1">
        <w:rPr>
          <w:rFonts w:ascii="Calibri" w:hAnsi="Calibri"/>
          <w:color w:val="000000" w:themeColor="text1"/>
          <w:shd w:val="clear" w:color="auto" w:fill="FFFFFF"/>
        </w:rPr>
        <w:t xml:space="preserve"> en orden al </w:t>
      </w:r>
      <w:r w:rsidR="008B4480" w:rsidRPr="00EE25D1">
        <w:rPr>
          <w:rFonts w:ascii="Calibri" w:hAnsi="Calibri"/>
          <w:color w:val="000000" w:themeColor="text1"/>
          <w:shd w:val="clear" w:color="auto" w:fill="FFFFFF"/>
        </w:rPr>
        <w:t>matrimonio.</w:t>
      </w:r>
    </w:p>
    <w:p w:rsidR="00071484" w:rsidRPr="00EE25D1" w:rsidRDefault="00A91C27" w:rsidP="00D44BF1">
      <w:pPr>
        <w:tabs>
          <w:tab w:val="left" w:pos="8505"/>
        </w:tabs>
        <w:spacing w:before="100" w:beforeAutospacing="1" w:after="100" w:afterAutospacing="1"/>
        <w:rPr>
          <w:rFonts w:ascii="Calibri" w:hAnsi="Calibri"/>
          <w:b/>
          <w:smallCaps/>
          <w:color w:val="000000" w:themeColor="text1"/>
          <w:shd w:val="clear" w:color="auto" w:fill="FFFFFF"/>
        </w:rPr>
      </w:pPr>
      <w:r w:rsidRPr="00EE25D1">
        <w:rPr>
          <w:rFonts w:ascii="Calibri" w:hAnsi="Calibri"/>
          <w:b/>
          <w:smallCaps/>
          <w:color w:val="000000" w:themeColor="text1"/>
          <w:shd w:val="clear" w:color="auto" w:fill="FFFFFF"/>
        </w:rPr>
        <w:t>3</w:t>
      </w:r>
      <w:r w:rsidR="00071484" w:rsidRPr="00EE25D1">
        <w:rPr>
          <w:rFonts w:ascii="Calibri" w:hAnsi="Calibri"/>
          <w:b/>
          <w:smallCaps/>
          <w:color w:val="000000" w:themeColor="text1"/>
          <w:shd w:val="clear" w:color="auto" w:fill="FFFFFF"/>
        </w:rPr>
        <w:t>. C</w:t>
      </w:r>
      <w:r w:rsidR="003B446E" w:rsidRPr="00EE25D1">
        <w:rPr>
          <w:rFonts w:ascii="Calibri" w:hAnsi="Calibri"/>
          <w:b/>
          <w:smallCaps/>
          <w:color w:val="000000" w:themeColor="text1"/>
          <w:shd w:val="clear" w:color="auto" w:fill="FFFFFF"/>
        </w:rPr>
        <w:t>apacidad para otorgar capitulaciones matrimoniales</w:t>
      </w:r>
    </w:p>
    <w:p w:rsidR="00921599" w:rsidRPr="00EE25D1" w:rsidRDefault="006B7FB1"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Al hilo de nuestra disertación sobre si las</w:t>
      </w:r>
      <w:r w:rsidR="008B4480" w:rsidRPr="00EE25D1">
        <w:rPr>
          <w:rFonts w:ascii="Calibri" w:hAnsi="Calibri"/>
          <w:color w:val="000000" w:themeColor="text1"/>
          <w:shd w:val="clear" w:color="auto" w:fill="FFFFFF"/>
        </w:rPr>
        <w:t xml:space="preserve"> medidas de apoyo desvirtuaban el carácter </w:t>
      </w:r>
      <w:r w:rsidR="008B4480" w:rsidRPr="00EE25D1">
        <w:rPr>
          <w:rFonts w:ascii="Calibri" w:hAnsi="Calibri"/>
          <w:i/>
          <w:color w:val="000000" w:themeColor="text1"/>
          <w:shd w:val="clear" w:color="auto" w:fill="FFFFFF"/>
        </w:rPr>
        <w:t>intuitu personae</w:t>
      </w:r>
      <w:r w:rsidR="00171CDE" w:rsidRPr="00EE25D1">
        <w:rPr>
          <w:rFonts w:ascii="Calibri" w:hAnsi="Calibri"/>
          <w:color w:val="000000" w:themeColor="text1"/>
          <w:shd w:val="clear" w:color="auto" w:fill="FFFFFF"/>
        </w:rPr>
        <w:t xml:space="preserve"> del matrimoni</w:t>
      </w:r>
      <w:r w:rsidRPr="00EE25D1">
        <w:rPr>
          <w:rFonts w:ascii="Calibri" w:hAnsi="Calibri"/>
          <w:color w:val="000000" w:themeColor="text1"/>
          <w:shd w:val="clear" w:color="auto" w:fill="FFFFFF"/>
        </w:rPr>
        <w:t xml:space="preserve">o, expusimos </w:t>
      </w:r>
      <w:r w:rsidR="008B4480" w:rsidRPr="00EE25D1">
        <w:rPr>
          <w:rFonts w:ascii="Calibri" w:hAnsi="Calibri"/>
          <w:color w:val="000000" w:themeColor="text1"/>
          <w:shd w:val="clear" w:color="auto" w:fill="FFFFFF"/>
        </w:rPr>
        <w:t xml:space="preserve">que el </w:t>
      </w:r>
      <w:r w:rsidR="005E74D2" w:rsidRPr="00EE25D1">
        <w:rPr>
          <w:rFonts w:ascii="Calibri" w:hAnsi="Calibri"/>
          <w:color w:val="000000" w:themeColor="text1"/>
          <w:shd w:val="clear" w:color="auto" w:fill="FFFFFF"/>
        </w:rPr>
        <w:t>matrimonio</w:t>
      </w:r>
      <w:r w:rsidR="008B4480" w:rsidRPr="00EE25D1">
        <w:rPr>
          <w:rFonts w:ascii="Calibri" w:hAnsi="Calibri"/>
          <w:color w:val="000000" w:themeColor="text1"/>
          <w:shd w:val="clear" w:color="auto" w:fill="FFFFFF"/>
        </w:rPr>
        <w:t xml:space="preserve"> había sido concebido por la doctrina como un negocio jurídico personalísimo </w:t>
      </w:r>
      <w:r w:rsidR="008B4480" w:rsidRPr="00EE25D1">
        <w:rPr>
          <w:rFonts w:ascii="Calibri" w:hAnsi="Calibri"/>
          <w:i/>
          <w:color w:val="000000" w:themeColor="text1"/>
          <w:shd w:val="clear" w:color="auto" w:fill="FFFFFF"/>
        </w:rPr>
        <w:t xml:space="preserve">stricto sensu. </w:t>
      </w:r>
      <w:r w:rsidRPr="00EE25D1">
        <w:rPr>
          <w:rFonts w:ascii="Calibri" w:hAnsi="Calibri"/>
          <w:color w:val="000000" w:themeColor="text1"/>
          <w:shd w:val="clear" w:color="auto" w:fill="FFFFFF"/>
        </w:rPr>
        <w:t xml:space="preserve">Dijimos </w:t>
      </w:r>
      <w:r w:rsidR="00F95BA3" w:rsidRPr="00EE25D1">
        <w:rPr>
          <w:rFonts w:ascii="Calibri" w:hAnsi="Calibri"/>
          <w:i/>
          <w:color w:val="000000" w:themeColor="text1"/>
          <w:shd w:val="clear" w:color="auto" w:fill="FFFFFF"/>
        </w:rPr>
        <w:t>stricto sensu</w:t>
      </w:r>
      <w:r w:rsidR="008B4480" w:rsidRPr="00EE25D1">
        <w:rPr>
          <w:rFonts w:ascii="Calibri" w:hAnsi="Calibri"/>
          <w:color w:val="000000" w:themeColor="text1"/>
          <w:shd w:val="clear" w:color="auto" w:fill="FFFFFF"/>
        </w:rPr>
        <w:t xml:space="preserve"> porque a diferencia, </w:t>
      </w:r>
      <w:r w:rsidR="00966A49" w:rsidRPr="00EE25D1">
        <w:rPr>
          <w:rFonts w:ascii="Calibri" w:hAnsi="Calibri"/>
          <w:i/>
          <w:color w:val="000000" w:themeColor="text1"/>
          <w:shd w:val="clear" w:color="auto" w:fill="FFFFFF"/>
        </w:rPr>
        <w:t>ad exe</w:t>
      </w:r>
      <w:r w:rsidR="008B4480" w:rsidRPr="00EE25D1">
        <w:rPr>
          <w:rFonts w:ascii="Calibri" w:hAnsi="Calibri"/>
          <w:i/>
          <w:color w:val="000000" w:themeColor="text1"/>
          <w:shd w:val="clear" w:color="auto" w:fill="FFFFFF"/>
        </w:rPr>
        <w:t>mpl</w:t>
      </w:r>
      <w:r w:rsidR="00966A49" w:rsidRPr="00EE25D1">
        <w:rPr>
          <w:rFonts w:ascii="Calibri" w:hAnsi="Calibri"/>
          <w:i/>
          <w:color w:val="000000" w:themeColor="text1"/>
          <w:shd w:val="clear" w:color="auto" w:fill="FFFFFF"/>
        </w:rPr>
        <w:t>um</w:t>
      </w:r>
      <w:r w:rsidR="008B4480" w:rsidRPr="00EE25D1">
        <w:rPr>
          <w:rFonts w:ascii="Calibri" w:hAnsi="Calibri"/>
          <w:color w:val="000000" w:themeColor="text1"/>
          <w:shd w:val="clear" w:color="auto" w:fill="FFFFFF"/>
        </w:rPr>
        <w:t xml:space="preserve">, de las capitulaciones matrimoniales, que han sido catalogadas por la doctrina española como un negocio </w:t>
      </w:r>
      <w:r w:rsidR="008B4480" w:rsidRPr="00EE25D1">
        <w:rPr>
          <w:rFonts w:ascii="Calibri" w:hAnsi="Calibri"/>
          <w:i/>
          <w:color w:val="000000" w:themeColor="text1"/>
          <w:shd w:val="clear" w:color="auto" w:fill="FFFFFF"/>
        </w:rPr>
        <w:t>intuitu personae</w:t>
      </w:r>
      <w:r w:rsidR="005E74D2" w:rsidRPr="00EE25D1">
        <w:rPr>
          <w:rStyle w:val="Refdenotaalpie"/>
          <w:rFonts w:ascii="Calibri" w:hAnsi="Calibri"/>
          <w:color w:val="000000" w:themeColor="text1"/>
          <w:shd w:val="clear" w:color="auto" w:fill="FFFFFF"/>
        </w:rPr>
        <w:footnoteReference w:id="39"/>
      </w:r>
      <w:r w:rsidR="008B4480" w:rsidRPr="00EE25D1">
        <w:rPr>
          <w:rFonts w:ascii="Calibri" w:hAnsi="Calibri"/>
          <w:color w:val="000000" w:themeColor="text1"/>
          <w:shd w:val="clear" w:color="auto" w:fill="FFFFFF"/>
        </w:rPr>
        <w:t xml:space="preserve">, pese a que su validez había estado </w:t>
      </w:r>
      <w:r w:rsidR="003A6B54" w:rsidRPr="00EE25D1">
        <w:rPr>
          <w:rFonts w:ascii="Calibri" w:hAnsi="Calibri"/>
          <w:color w:val="000000" w:themeColor="text1"/>
          <w:shd w:val="clear" w:color="auto" w:fill="FFFFFF"/>
        </w:rPr>
        <w:t xml:space="preserve">a </w:t>
      </w:r>
      <w:r w:rsidR="008B4480" w:rsidRPr="00EE25D1">
        <w:rPr>
          <w:rFonts w:ascii="Calibri" w:hAnsi="Calibri"/>
          <w:color w:val="000000" w:themeColor="text1"/>
          <w:shd w:val="clear" w:color="auto" w:fill="FFFFFF"/>
        </w:rPr>
        <w:t>merced</w:t>
      </w:r>
      <w:r w:rsidR="005E74D2" w:rsidRPr="00EE25D1">
        <w:rPr>
          <w:rFonts w:ascii="Calibri" w:hAnsi="Calibri"/>
          <w:color w:val="000000" w:themeColor="text1"/>
          <w:shd w:val="clear" w:color="auto" w:fill="FFFFFF"/>
        </w:rPr>
        <w:t>, si el otorgante estaba incapacitado judicialmente</w:t>
      </w:r>
      <w:r w:rsidR="00171CDE" w:rsidRPr="00EE25D1">
        <w:rPr>
          <w:rFonts w:ascii="Calibri" w:hAnsi="Calibri"/>
          <w:color w:val="000000" w:themeColor="text1"/>
          <w:shd w:val="clear" w:color="auto" w:fill="FFFFFF"/>
        </w:rPr>
        <w:t xml:space="preserve"> o era menor</w:t>
      </w:r>
      <w:r w:rsidR="005E74D2" w:rsidRPr="00EE25D1">
        <w:rPr>
          <w:rFonts w:ascii="Calibri" w:hAnsi="Calibri"/>
          <w:color w:val="000000" w:themeColor="text1"/>
          <w:shd w:val="clear" w:color="auto" w:fill="FFFFFF"/>
        </w:rPr>
        <w:t>,</w:t>
      </w:r>
      <w:r w:rsidR="008B4480" w:rsidRPr="00EE25D1">
        <w:rPr>
          <w:rFonts w:ascii="Calibri" w:hAnsi="Calibri"/>
          <w:color w:val="000000" w:themeColor="text1"/>
          <w:shd w:val="clear" w:color="auto" w:fill="FFFFFF"/>
        </w:rPr>
        <w:t xml:space="preserve"> </w:t>
      </w:r>
      <w:r w:rsidR="005E74D2" w:rsidRPr="00EE25D1">
        <w:rPr>
          <w:rFonts w:ascii="Calibri" w:hAnsi="Calibri"/>
          <w:color w:val="000000" w:themeColor="text1"/>
          <w:shd w:val="clear" w:color="auto" w:fill="FFFFFF"/>
        </w:rPr>
        <w:t xml:space="preserve">de la </w:t>
      </w:r>
      <w:r w:rsidR="008B4480" w:rsidRPr="00EE25D1">
        <w:rPr>
          <w:rFonts w:ascii="Calibri" w:hAnsi="Calibri"/>
          <w:color w:val="000000" w:themeColor="text1"/>
          <w:shd w:val="clear" w:color="auto" w:fill="FFFFFF"/>
        </w:rPr>
        <w:t>otrora asistencia o complemento de capacidad de los progenitores, del tutor o del curador, en el matrimonio no se ha admitido representación ni complemento de capacidad de ningún tipo. Es por ello que habría sido más preciso distinguir entre negocios jurídico</w:t>
      </w:r>
      <w:r w:rsidR="005E74D2" w:rsidRPr="00EE25D1">
        <w:rPr>
          <w:rFonts w:ascii="Calibri" w:hAnsi="Calibri"/>
          <w:color w:val="000000" w:themeColor="text1"/>
          <w:shd w:val="clear" w:color="auto" w:fill="FFFFFF"/>
        </w:rPr>
        <w:t>s</w:t>
      </w:r>
      <w:r w:rsidR="008B4480" w:rsidRPr="00EE25D1">
        <w:rPr>
          <w:rFonts w:ascii="Calibri" w:hAnsi="Calibri"/>
          <w:color w:val="000000" w:themeColor="text1"/>
          <w:shd w:val="clear" w:color="auto" w:fill="FFFFFF"/>
        </w:rPr>
        <w:t xml:space="preserve"> personalísimo</w:t>
      </w:r>
      <w:r w:rsidR="003A6B54" w:rsidRPr="00EE25D1">
        <w:rPr>
          <w:rFonts w:ascii="Calibri" w:hAnsi="Calibri"/>
          <w:color w:val="000000" w:themeColor="text1"/>
          <w:shd w:val="clear" w:color="auto" w:fill="FFFFFF"/>
        </w:rPr>
        <w:t>s</w:t>
      </w:r>
      <w:r w:rsidR="008B4480" w:rsidRPr="00EE25D1">
        <w:rPr>
          <w:rFonts w:ascii="Calibri" w:hAnsi="Calibri"/>
          <w:color w:val="000000" w:themeColor="text1"/>
          <w:shd w:val="clear" w:color="auto" w:fill="FFFFFF"/>
        </w:rPr>
        <w:t xml:space="preserve"> </w:t>
      </w:r>
      <w:r w:rsidR="008B4480" w:rsidRPr="00EE25D1">
        <w:rPr>
          <w:rFonts w:ascii="Calibri" w:hAnsi="Calibri"/>
          <w:i/>
          <w:color w:val="000000" w:themeColor="text1"/>
          <w:shd w:val="clear" w:color="auto" w:fill="FFFFFF"/>
        </w:rPr>
        <w:t>stricto sensu</w:t>
      </w:r>
      <w:r w:rsidR="008B4480" w:rsidRPr="00EE25D1">
        <w:rPr>
          <w:rFonts w:ascii="Calibri" w:hAnsi="Calibri"/>
          <w:color w:val="000000" w:themeColor="text1"/>
          <w:shd w:val="clear" w:color="auto" w:fill="FFFFFF"/>
        </w:rPr>
        <w:t>, que serían aquellos que no podían estar al albur de</w:t>
      </w:r>
      <w:r w:rsidR="006F631D" w:rsidRPr="00EE25D1">
        <w:rPr>
          <w:rFonts w:ascii="Calibri" w:hAnsi="Calibri"/>
          <w:color w:val="000000" w:themeColor="text1"/>
          <w:shd w:val="clear" w:color="auto" w:fill="FFFFFF"/>
        </w:rPr>
        <w:t xml:space="preserve">  ningún tipo de representación ni de </w:t>
      </w:r>
      <w:r w:rsidR="008B4480" w:rsidRPr="00EE25D1">
        <w:rPr>
          <w:rFonts w:ascii="Calibri" w:hAnsi="Calibri"/>
          <w:color w:val="000000" w:themeColor="text1"/>
          <w:shd w:val="clear" w:color="auto" w:fill="FFFFFF"/>
        </w:rPr>
        <w:t>complemento, como el matrimonio, de aquellos negocios personalísimos</w:t>
      </w:r>
      <w:r w:rsidR="006F631D" w:rsidRPr="00EE25D1">
        <w:rPr>
          <w:rFonts w:ascii="Calibri" w:hAnsi="Calibri"/>
          <w:color w:val="000000" w:themeColor="text1"/>
          <w:shd w:val="clear" w:color="auto" w:fill="FFFFFF"/>
        </w:rPr>
        <w:t xml:space="preserve"> </w:t>
      </w:r>
      <w:r w:rsidR="008B4480" w:rsidRPr="00EE25D1">
        <w:rPr>
          <w:rFonts w:ascii="Calibri" w:hAnsi="Calibri"/>
          <w:i/>
          <w:color w:val="000000" w:themeColor="text1"/>
          <w:shd w:val="clear" w:color="auto" w:fill="FFFFFF"/>
        </w:rPr>
        <w:t>lato sensu</w:t>
      </w:r>
      <w:r w:rsidR="006F631D" w:rsidRPr="00EE25D1">
        <w:rPr>
          <w:rFonts w:ascii="Calibri" w:hAnsi="Calibri"/>
          <w:color w:val="000000" w:themeColor="text1"/>
          <w:shd w:val="clear" w:color="auto" w:fill="FFFFFF"/>
        </w:rPr>
        <w:t xml:space="preserve">, </w:t>
      </w:r>
      <w:r w:rsidR="008B4480" w:rsidRPr="00EE25D1">
        <w:rPr>
          <w:rFonts w:ascii="Calibri" w:hAnsi="Calibri"/>
          <w:color w:val="000000" w:themeColor="text1"/>
          <w:shd w:val="clear" w:color="auto" w:fill="FFFFFF"/>
        </w:rPr>
        <w:t>que, pese a alberga</w:t>
      </w:r>
      <w:r w:rsidR="005E74D2" w:rsidRPr="00EE25D1">
        <w:rPr>
          <w:rFonts w:ascii="Calibri" w:hAnsi="Calibri"/>
          <w:color w:val="000000" w:themeColor="text1"/>
          <w:shd w:val="clear" w:color="auto" w:fill="FFFFFF"/>
        </w:rPr>
        <w:t>r características propia</w:t>
      </w:r>
      <w:r w:rsidR="008B4480" w:rsidRPr="00EE25D1">
        <w:rPr>
          <w:rFonts w:ascii="Calibri" w:hAnsi="Calibri"/>
          <w:color w:val="000000" w:themeColor="text1"/>
          <w:shd w:val="clear" w:color="auto" w:fill="FFFFFF"/>
        </w:rPr>
        <w:t xml:space="preserve">s de los actos personalísimos, como la exclusión de la representación en </w:t>
      </w:r>
      <w:r w:rsidR="00F95BA3" w:rsidRPr="00EE25D1">
        <w:rPr>
          <w:rFonts w:ascii="Calibri" w:hAnsi="Calibri"/>
          <w:color w:val="000000" w:themeColor="text1"/>
          <w:shd w:val="clear" w:color="auto" w:fill="FFFFFF"/>
        </w:rPr>
        <w:t>su otorgamiento o perfección, sí</w:t>
      </w:r>
      <w:r w:rsidR="008B4480" w:rsidRPr="00EE25D1">
        <w:rPr>
          <w:rFonts w:ascii="Calibri" w:hAnsi="Calibri"/>
          <w:color w:val="000000" w:themeColor="text1"/>
          <w:shd w:val="clear" w:color="auto" w:fill="FFFFFF"/>
        </w:rPr>
        <w:t xml:space="preserve"> podían estar supeditados</w:t>
      </w:r>
      <w:r w:rsidR="005E74D2" w:rsidRPr="00EE25D1">
        <w:rPr>
          <w:rFonts w:ascii="Calibri" w:hAnsi="Calibri"/>
          <w:color w:val="000000" w:themeColor="text1"/>
          <w:shd w:val="clear" w:color="auto" w:fill="FFFFFF"/>
        </w:rPr>
        <w:t xml:space="preserve"> a la intervención de un tercero a modo de complemento. No obstante, seguramente este binomio que ahora proponemos vaya perdiendo virtualidad, al menos, en el ámbito del matrimonio y de las capitulaciones matrimoniales</w:t>
      </w:r>
      <w:r w:rsidR="00171CDE" w:rsidRPr="00EE25D1">
        <w:rPr>
          <w:rFonts w:ascii="Calibri" w:hAnsi="Calibri"/>
          <w:color w:val="000000" w:themeColor="text1"/>
          <w:shd w:val="clear" w:color="auto" w:fill="FFFFFF"/>
        </w:rPr>
        <w:t xml:space="preserve">, como </w:t>
      </w:r>
      <w:r w:rsidR="005E74D2" w:rsidRPr="00EE25D1">
        <w:rPr>
          <w:rFonts w:ascii="Calibri" w:hAnsi="Calibri"/>
          <w:color w:val="000000" w:themeColor="text1"/>
          <w:shd w:val="clear" w:color="auto" w:fill="FFFFFF"/>
        </w:rPr>
        <w:t>veremos a continuación.</w:t>
      </w:r>
    </w:p>
    <w:p w:rsidR="002C2C9C" w:rsidRPr="00EE25D1" w:rsidRDefault="00C71F23"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El </w:t>
      </w:r>
      <w:r w:rsidR="0037190C" w:rsidRPr="00EE25D1">
        <w:rPr>
          <w:rFonts w:ascii="Calibri" w:hAnsi="Calibri"/>
        </w:rPr>
        <w:t>artículo</w:t>
      </w:r>
      <w:r w:rsidRPr="00EE25D1">
        <w:rPr>
          <w:rFonts w:ascii="Calibri" w:hAnsi="Calibri"/>
          <w:color w:val="000000" w:themeColor="text1"/>
          <w:shd w:val="clear" w:color="auto" w:fill="FFFFFF"/>
        </w:rPr>
        <w:t xml:space="preserve"> 1330 </w:t>
      </w:r>
      <w:r w:rsidRPr="00EE25D1">
        <w:rPr>
          <w:rFonts w:ascii="Calibri" w:hAnsi="Calibri"/>
        </w:rPr>
        <w:t>del Código Civil</w:t>
      </w:r>
      <w:r w:rsidR="002C2C9C" w:rsidRPr="00EE25D1">
        <w:rPr>
          <w:rFonts w:ascii="Calibri" w:hAnsi="Calibri"/>
          <w:color w:val="000000" w:themeColor="text1"/>
          <w:shd w:val="clear" w:color="auto" w:fill="FFFFFF"/>
        </w:rPr>
        <w:t>, antes de la publicación de la LAPCD, disponía que el i</w:t>
      </w:r>
      <w:r w:rsidR="003A6B54" w:rsidRPr="00EE25D1">
        <w:rPr>
          <w:rFonts w:ascii="Calibri" w:hAnsi="Calibri"/>
          <w:color w:val="000000" w:themeColor="text1"/>
          <w:shd w:val="clear" w:color="auto" w:fill="FFFFFF"/>
        </w:rPr>
        <w:t>ncapacitado judicialmente podía</w:t>
      </w:r>
      <w:r w:rsidR="006B7FB1" w:rsidRPr="00EE25D1">
        <w:rPr>
          <w:rFonts w:ascii="Calibri" w:hAnsi="Calibri"/>
          <w:color w:val="000000" w:themeColor="text1"/>
          <w:shd w:val="clear" w:color="auto" w:fill="FFFFFF"/>
        </w:rPr>
        <w:t xml:space="preserve"> </w:t>
      </w:r>
      <w:r w:rsidR="002C2C9C" w:rsidRPr="00EE25D1">
        <w:rPr>
          <w:rFonts w:ascii="Calibri" w:hAnsi="Calibri"/>
          <w:color w:val="000000" w:themeColor="text1"/>
          <w:shd w:val="clear" w:color="auto" w:fill="FFFFFF"/>
        </w:rPr>
        <w:t>otorgar capitulaciones matrimonial</w:t>
      </w:r>
      <w:r w:rsidR="00F95BA3" w:rsidRPr="00EE25D1">
        <w:rPr>
          <w:rFonts w:ascii="Calibri" w:hAnsi="Calibri"/>
          <w:color w:val="000000" w:themeColor="text1"/>
          <w:shd w:val="clear" w:color="auto" w:fill="FFFFFF"/>
        </w:rPr>
        <w:t>es</w:t>
      </w:r>
      <w:r w:rsidR="002C2C9C" w:rsidRPr="00EE25D1">
        <w:rPr>
          <w:rFonts w:ascii="Calibri" w:hAnsi="Calibri"/>
          <w:color w:val="000000" w:themeColor="text1"/>
          <w:shd w:val="clear" w:color="auto" w:fill="FFFFFF"/>
        </w:rPr>
        <w:t xml:space="preserve"> con la asistencia de sus padres, tutor o curador. La reforma ha derogado el citado precepto, toda vez que la figura del incapacitado y todo lo que dicho estado civil</w:t>
      </w:r>
      <w:r w:rsidR="006B7FB1" w:rsidRPr="00EE25D1">
        <w:rPr>
          <w:rFonts w:ascii="Calibri" w:hAnsi="Calibri"/>
          <w:color w:val="000000" w:themeColor="text1"/>
          <w:shd w:val="clear" w:color="auto" w:fill="FFFFFF"/>
        </w:rPr>
        <w:t xml:space="preserve"> conllevaba ha quedado relegad </w:t>
      </w:r>
      <w:r w:rsidR="002C2C9C" w:rsidRPr="00EE25D1">
        <w:rPr>
          <w:rFonts w:ascii="Calibri" w:hAnsi="Calibri"/>
          <w:color w:val="000000" w:themeColor="text1"/>
          <w:shd w:val="clear" w:color="auto" w:fill="FFFFFF"/>
        </w:rPr>
        <w:t>al baúl de los recuerdos, con permiso de la utópica disposición transitoria segunda de la LAPCD. De la misma</w:t>
      </w:r>
      <w:r w:rsidR="006F631D" w:rsidRPr="00EE25D1">
        <w:rPr>
          <w:rFonts w:ascii="Calibri" w:hAnsi="Calibri"/>
          <w:color w:val="000000" w:themeColor="text1"/>
          <w:shd w:val="clear" w:color="auto" w:fill="FFFFFF"/>
        </w:rPr>
        <w:t xml:space="preserve"> manera que el otrora </w:t>
      </w:r>
      <w:r w:rsidR="0037190C" w:rsidRPr="00EE25D1">
        <w:rPr>
          <w:rFonts w:ascii="Calibri" w:hAnsi="Calibri"/>
        </w:rPr>
        <w:t>artículo</w:t>
      </w:r>
      <w:r w:rsidR="006F631D" w:rsidRPr="00EE25D1">
        <w:rPr>
          <w:rFonts w:ascii="Calibri" w:hAnsi="Calibri"/>
          <w:color w:val="000000" w:themeColor="text1"/>
          <w:shd w:val="clear" w:color="auto" w:fill="FFFFFF"/>
        </w:rPr>
        <w:t xml:space="preserve"> 133</w:t>
      </w:r>
      <w:r w:rsidRPr="00EE25D1">
        <w:rPr>
          <w:rFonts w:ascii="Calibri" w:hAnsi="Calibri"/>
          <w:color w:val="000000" w:themeColor="text1"/>
          <w:shd w:val="clear" w:color="auto" w:fill="FFFFFF"/>
        </w:rPr>
        <w:t xml:space="preserve">0 </w:t>
      </w:r>
      <w:r w:rsidR="006B7FB1" w:rsidRPr="00EE25D1">
        <w:rPr>
          <w:rFonts w:ascii="Calibri" w:hAnsi="Calibri"/>
          <w:color w:val="000000" w:themeColor="text1"/>
          <w:shd w:val="clear" w:color="auto" w:fill="FFFFFF"/>
        </w:rPr>
        <w:t>no tenía un engarce</w:t>
      </w:r>
      <w:r w:rsidR="006F631D" w:rsidRPr="00EE25D1">
        <w:rPr>
          <w:rFonts w:ascii="Calibri" w:hAnsi="Calibri"/>
          <w:color w:val="000000" w:themeColor="text1"/>
          <w:shd w:val="clear" w:color="auto" w:fill="FFFFFF"/>
        </w:rPr>
        <w:t xml:space="preserve"> con los principios de la CDPD, </w:t>
      </w:r>
      <w:r w:rsidR="002C2C9C" w:rsidRPr="00EE25D1">
        <w:rPr>
          <w:rFonts w:ascii="Calibri" w:hAnsi="Calibri"/>
          <w:color w:val="000000" w:themeColor="text1"/>
          <w:shd w:val="clear" w:color="auto" w:fill="FFFFFF"/>
        </w:rPr>
        <w:t>el legislador podría haber aprovechado</w:t>
      </w:r>
      <w:r w:rsidR="006F631D" w:rsidRPr="00EE25D1">
        <w:rPr>
          <w:rFonts w:ascii="Calibri" w:hAnsi="Calibri"/>
          <w:color w:val="000000" w:themeColor="text1"/>
          <w:shd w:val="clear" w:color="auto" w:fill="FFFFFF"/>
        </w:rPr>
        <w:t xml:space="preserve"> en 2021</w:t>
      </w:r>
      <w:r w:rsidRPr="00EE25D1">
        <w:rPr>
          <w:rFonts w:ascii="Calibri" w:hAnsi="Calibri"/>
          <w:color w:val="000000" w:themeColor="text1"/>
          <w:shd w:val="clear" w:color="auto" w:fill="FFFFFF"/>
        </w:rPr>
        <w:t xml:space="preserve"> para reformar el </w:t>
      </w:r>
      <w:r w:rsidR="0037190C" w:rsidRPr="00EE25D1">
        <w:rPr>
          <w:rFonts w:ascii="Calibri" w:hAnsi="Calibri"/>
        </w:rPr>
        <w:t>artículo</w:t>
      </w:r>
      <w:r w:rsidRPr="00EE25D1">
        <w:rPr>
          <w:rFonts w:ascii="Calibri" w:hAnsi="Calibri"/>
          <w:color w:val="000000" w:themeColor="text1"/>
          <w:shd w:val="clear" w:color="auto" w:fill="FFFFFF"/>
        </w:rPr>
        <w:t xml:space="preserve"> 1329</w:t>
      </w:r>
      <w:r w:rsidR="002C2C9C" w:rsidRPr="00EE25D1">
        <w:rPr>
          <w:rFonts w:ascii="Calibri" w:hAnsi="Calibri"/>
          <w:color w:val="000000" w:themeColor="text1"/>
          <w:shd w:val="clear" w:color="auto" w:fill="FFFFFF"/>
        </w:rPr>
        <w:t>, que sigue previendo la capacidad capitular del menor no emancipado cuando este, desde 2015, año en el que entró en vigor la LJV, no tiene capaci</w:t>
      </w:r>
      <w:r w:rsidR="00E40624" w:rsidRPr="00EE25D1">
        <w:rPr>
          <w:rFonts w:ascii="Calibri" w:hAnsi="Calibri"/>
          <w:color w:val="000000" w:themeColor="text1"/>
          <w:shd w:val="clear" w:color="auto" w:fill="FFFFFF"/>
        </w:rPr>
        <w:t>dad para contraer matrimonio (</w:t>
      </w:r>
      <w:r w:rsidR="00545FB7" w:rsidRPr="00EE25D1">
        <w:rPr>
          <w:rFonts w:ascii="Calibri" w:hAnsi="Calibri"/>
        </w:rPr>
        <w:t>art.</w:t>
      </w:r>
      <w:r w:rsidR="0037190C" w:rsidRPr="00EE25D1">
        <w:rPr>
          <w:rFonts w:ascii="Calibri" w:hAnsi="Calibri"/>
          <w:color w:val="000000" w:themeColor="text1"/>
          <w:shd w:val="clear" w:color="auto" w:fill="FFFFFF"/>
        </w:rPr>
        <w:t xml:space="preserve"> </w:t>
      </w:r>
      <w:r w:rsidR="00E40624" w:rsidRPr="00EE25D1">
        <w:rPr>
          <w:rFonts w:ascii="Calibri" w:hAnsi="Calibri"/>
          <w:color w:val="000000" w:themeColor="text1"/>
          <w:shd w:val="clear" w:color="auto" w:fill="FFFFFF"/>
        </w:rPr>
        <w:t xml:space="preserve">46.1º CC). </w:t>
      </w:r>
    </w:p>
    <w:p w:rsidR="00E40624" w:rsidRPr="00EE25D1" w:rsidRDefault="00E40624"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El legislador, de haber supeditado el otorgamiento de</w:t>
      </w:r>
      <w:r w:rsidR="00F95BA3" w:rsidRPr="00EE25D1">
        <w:rPr>
          <w:rFonts w:ascii="Calibri" w:hAnsi="Calibri"/>
          <w:color w:val="000000" w:themeColor="text1"/>
          <w:shd w:val="clear" w:color="auto" w:fill="FFFFFF"/>
        </w:rPr>
        <w:t xml:space="preserve"> las</w:t>
      </w:r>
      <w:r w:rsidRPr="00EE25D1">
        <w:rPr>
          <w:rFonts w:ascii="Calibri" w:hAnsi="Calibri"/>
          <w:color w:val="000000" w:themeColor="text1"/>
          <w:shd w:val="clear" w:color="auto" w:fill="FFFFFF"/>
        </w:rPr>
        <w:t xml:space="preserve"> capitulaciones matrimoniales por las personas con discapacidad a la asistencia de los progenitores, del tutor o del curador, habría entrado en una grave contradicción con las nuevas previsiones de la reforma, toda vez que circunscribió la constitución de la tutela para aquellos casos en lo</w:t>
      </w:r>
      <w:r w:rsidR="006B7FB1" w:rsidRPr="00EE25D1">
        <w:rPr>
          <w:rFonts w:ascii="Calibri" w:hAnsi="Calibri"/>
          <w:color w:val="000000" w:themeColor="text1"/>
          <w:shd w:val="clear" w:color="auto" w:fill="FFFFFF"/>
        </w:rPr>
        <w:t>s</w:t>
      </w:r>
      <w:r w:rsidRPr="00EE25D1">
        <w:rPr>
          <w:rFonts w:ascii="Calibri" w:hAnsi="Calibri"/>
          <w:color w:val="000000" w:themeColor="text1"/>
          <w:shd w:val="clear" w:color="auto" w:fill="FFFFFF"/>
        </w:rPr>
        <w:t xml:space="preserve"> que hay un menor no emancipado en situación de desamparo (</w:t>
      </w:r>
      <w:r w:rsidRPr="00EE25D1">
        <w:rPr>
          <w:rFonts w:ascii="Calibri" w:hAnsi="Calibri"/>
          <w:i/>
          <w:color w:val="000000" w:themeColor="text1"/>
          <w:shd w:val="clear" w:color="auto" w:fill="FFFFFF"/>
        </w:rPr>
        <w:t>cfr</w:t>
      </w:r>
      <w:r w:rsidRPr="00EE25D1">
        <w:rPr>
          <w:rFonts w:ascii="Calibri" w:hAnsi="Calibri"/>
          <w:color w:val="000000" w:themeColor="text1"/>
          <w:shd w:val="clear" w:color="auto" w:fill="FFFFFF"/>
        </w:rPr>
        <w:t xml:space="preserve">. </w:t>
      </w:r>
      <w:r w:rsidR="00545FB7" w:rsidRPr="00EE25D1">
        <w:rPr>
          <w:rFonts w:ascii="Calibri" w:hAnsi="Calibri"/>
        </w:rPr>
        <w:t>art.</w:t>
      </w:r>
      <w:r w:rsidRPr="00EE25D1">
        <w:rPr>
          <w:rFonts w:ascii="Calibri" w:hAnsi="Calibri"/>
          <w:color w:val="000000" w:themeColor="text1"/>
          <w:shd w:val="clear" w:color="auto" w:fill="FFFFFF"/>
        </w:rPr>
        <w:t xml:space="preserve"> 199.1º y </w:t>
      </w:r>
      <w:r w:rsidR="00545FB7" w:rsidRPr="00EE25D1">
        <w:rPr>
          <w:rFonts w:ascii="Calibri" w:hAnsi="Calibri"/>
        </w:rPr>
        <w:t>art.</w:t>
      </w:r>
      <w:r w:rsidR="0037190C"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172 CC) o no sujeto a pa</w:t>
      </w:r>
      <w:r w:rsidR="006F631D" w:rsidRPr="00EE25D1">
        <w:rPr>
          <w:rFonts w:ascii="Calibri" w:hAnsi="Calibri"/>
          <w:color w:val="000000" w:themeColor="text1"/>
          <w:shd w:val="clear" w:color="auto" w:fill="FFFFFF"/>
        </w:rPr>
        <w:t>tria potestad (</w:t>
      </w:r>
      <w:r w:rsidR="00545FB7" w:rsidRPr="00EE25D1">
        <w:rPr>
          <w:rFonts w:ascii="Calibri" w:hAnsi="Calibri"/>
        </w:rPr>
        <w:t xml:space="preserve">art. </w:t>
      </w:r>
      <w:r w:rsidR="006F631D" w:rsidRPr="00EE25D1">
        <w:rPr>
          <w:rFonts w:ascii="Calibri" w:hAnsi="Calibri"/>
          <w:color w:val="000000" w:themeColor="text1"/>
          <w:shd w:val="clear" w:color="auto" w:fill="FFFFFF"/>
        </w:rPr>
        <w:t>199.2º CC), y, además,</w:t>
      </w:r>
      <w:r w:rsidRPr="00EE25D1">
        <w:rPr>
          <w:rFonts w:ascii="Calibri" w:hAnsi="Calibri"/>
          <w:color w:val="000000" w:themeColor="text1"/>
          <w:shd w:val="clear" w:color="auto" w:fill="FFFFFF"/>
        </w:rPr>
        <w:t xml:space="preserve"> suprimió la patria potestad prorrogada y rehabilitada </w:t>
      </w:r>
      <w:r w:rsidR="006F631D" w:rsidRPr="00EE25D1">
        <w:rPr>
          <w:rFonts w:ascii="Calibri" w:hAnsi="Calibri"/>
          <w:color w:val="000000" w:themeColor="text1"/>
          <w:shd w:val="clear" w:color="auto" w:fill="FFFFFF"/>
        </w:rPr>
        <w:t>mediante la derogación del</w:t>
      </w:r>
      <w:r w:rsidR="00C71F23" w:rsidRPr="00EE25D1">
        <w:rPr>
          <w:rFonts w:ascii="Calibri" w:hAnsi="Calibri"/>
          <w:color w:val="000000" w:themeColor="text1"/>
          <w:shd w:val="clear" w:color="auto" w:fill="FFFFFF"/>
        </w:rPr>
        <w:t xml:space="preserve">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171 </w:t>
      </w:r>
      <w:r w:rsidR="00C71F23" w:rsidRPr="00EE25D1">
        <w:rPr>
          <w:rFonts w:ascii="Calibri" w:hAnsi="Calibri"/>
        </w:rPr>
        <w:t>del Código Civil.</w:t>
      </w:r>
    </w:p>
    <w:p w:rsidR="00E40624" w:rsidRPr="00EE25D1" w:rsidRDefault="006F631D"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A mayor abundamiento</w:t>
      </w:r>
      <w:r w:rsidR="00E40624" w:rsidRPr="00EE25D1">
        <w:rPr>
          <w:rFonts w:ascii="Calibri" w:hAnsi="Calibri"/>
          <w:color w:val="000000" w:themeColor="text1"/>
          <w:shd w:val="clear" w:color="auto" w:fill="FFFFFF"/>
        </w:rPr>
        <w:t xml:space="preserve">, el automatismo de exigir el antiguo complemento de capacidad de la </w:t>
      </w:r>
      <w:r w:rsidR="00713CC7" w:rsidRPr="00EE25D1">
        <w:rPr>
          <w:rFonts w:ascii="Calibri" w:hAnsi="Calibri"/>
          <w:color w:val="000000" w:themeColor="text1"/>
          <w:shd w:val="clear" w:color="auto" w:fill="FFFFFF"/>
        </w:rPr>
        <w:t>“</w:t>
      </w:r>
      <w:r w:rsidR="00E40624" w:rsidRPr="00EE25D1">
        <w:rPr>
          <w:rFonts w:ascii="Calibri" w:hAnsi="Calibri"/>
          <w:color w:val="000000" w:themeColor="text1"/>
          <w:shd w:val="clear" w:color="auto" w:fill="FFFFFF"/>
        </w:rPr>
        <w:t>asistencia</w:t>
      </w:r>
      <w:r w:rsidR="00713CC7" w:rsidRPr="00EE25D1">
        <w:rPr>
          <w:rFonts w:ascii="Calibri" w:hAnsi="Calibri"/>
          <w:color w:val="000000" w:themeColor="text1"/>
          <w:shd w:val="clear" w:color="auto" w:fill="FFFFFF"/>
        </w:rPr>
        <w:t>”</w:t>
      </w:r>
      <w:r w:rsidR="00E40624" w:rsidRPr="00EE25D1">
        <w:rPr>
          <w:rFonts w:ascii="Calibri" w:hAnsi="Calibri"/>
          <w:color w:val="000000" w:themeColor="text1"/>
          <w:shd w:val="clear" w:color="auto" w:fill="FFFFFF"/>
        </w:rPr>
        <w:t xml:space="preserve"> o, ahora, la intervención de las medidas de apoyo</w:t>
      </w:r>
      <w:r w:rsidR="000F3D9B" w:rsidRPr="00EE25D1">
        <w:rPr>
          <w:rFonts w:ascii="Calibri" w:hAnsi="Calibri"/>
          <w:color w:val="000000" w:themeColor="text1"/>
          <w:shd w:val="clear" w:color="auto" w:fill="FFFFFF"/>
        </w:rPr>
        <w:t>, sin previo examen de las facultades</w:t>
      </w:r>
      <w:r w:rsidR="00F96C8F" w:rsidRPr="00EE25D1">
        <w:rPr>
          <w:rFonts w:ascii="Calibri" w:hAnsi="Calibri"/>
          <w:color w:val="000000" w:themeColor="text1"/>
          <w:shd w:val="clear" w:color="auto" w:fill="FFFFFF"/>
        </w:rPr>
        <w:t xml:space="preserve"> intelectivas y volitivas</w:t>
      </w:r>
      <w:r w:rsidR="000F3D9B" w:rsidRPr="00EE25D1">
        <w:rPr>
          <w:rFonts w:ascii="Calibri" w:hAnsi="Calibri"/>
          <w:color w:val="000000" w:themeColor="text1"/>
          <w:shd w:val="clear" w:color="auto" w:fill="FFFFFF"/>
        </w:rPr>
        <w:t xml:space="preserve"> del otorgante, supondría contrariar </w:t>
      </w:r>
      <w:r w:rsidRPr="00EE25D1">
        <w:rPr>
          <w:rFonts w:ascii="Calibri" w:hAnsi="Calibri"/>
          <w:color w:val="000000" w:themeColor="text1"/>
          <w:shd w:val="clear" w:color="auto" w:fill="FFFFFF"/>
        </w:rPr>
        <w:t xml:space="preserve">la </w:t>
      </w:r>
      <w:r w:rsidR="000F3D9B" w:rsidRPr="00EE25D1">
        <w:rPr>
          <w:rFonts w:ascii="Calibri" w:hAnsi="Calibri"/>
          <w:color w:val="000000" w:themeColor="text1"/>
          <w:shd w:val="clear" w:color="auto" w:fill="FFFFFF"/>
        </w:rPr>
        <w:t>CDPD</w:t>
      </w:r>
      <w:r w:rsidR="00F96C8F" w:rsidRPr="00EE25D1">
        <w:rPr>
          <w:rFonts w:ascii="Calibri" w:hAnsi="Calibri"/>
          <w:color w:val="000000" w:themeColor="text1"/>
          <w:shd w:val="clear" w:color="auto" w:fill="FFFFFF"/>
        </w:rPr>
        <w:t xml:space="preserve">, en concreto, el </w:t>
      </w:r>
      <w:r w:rsidR="000C0416" w:rsidRPr="00EE25D1">
        <w:rPr>
          <w:rFonts w:ascii="Calibri" w:hAnsi="Calibri"/>
        </w:rPr>
        <w:t>artículo</w:t>
      </w:r>
      <w:r w:rsidR="00F96C8F" w:rsidRPr="00EE25D1">
        <w:rPr>
          <w:rFonts w:ascii="Calibri" w:hAnsi="Calibri"/>
          <w:color w:val="000000" w:themeColor="text1"/>
          <w:shd w:val="clear" w:color="auto" w:fill="FFFFFF"/>
        </w:rPr>
        <w:t xml:space="preserve"> 23.1 </w:t>
      </w:r>
      <w:r w:rsidR="00F95BA3" w:rsidRPr="00EE25D1">
        <w:rPr>
          <w:rFonts w:ascii="Calibri" w:hAnsi="Calibri"/>
          <w:color w:val="000000" w:themeColor="text1"/>
          <w:shd w:val="clear" w:color="auto" w:fill="FFFFFF"/>
        </w:rPr>
        <w:t xml:space="preserve">que </w:t>
      </w:r>
      <w:r w:rsidR="00F96C8F" w:rsidRPr="00EE25D1">
        <w:rPr>
          <w:rFonts w:ascii="Calibri" w:hAnsi="Calibri"/>
          <w:color w:val="000000" w:themeColor="text1"/>
          <w:shd w:val="clear" w:color="auto" w:fill="FFFFFF"/>
        </w:rPr>
        <w:t xml:space="preserve">proscribe la discriminación contra las personas con discapacidad en todas las cuestiones relacionadas con el matrimonio y la familia, y el </w:t>
      </w:r>
      <w:r w:rsidR="000C0416" w:rsidRPr="00EE25D1">
        <w:rPr>
          <w:rFonts w:ascii="Calibri" w:hAnsi="Calibri"/>
        </w:rPr>
        <w:t>artículo</w:t>
      </w:r>
      <w:r w:rsidR="00F96C8F" w:rsidRPr="00EE25D1">
        <w:rPr>
          <w:rFonts w:ascii="Calibri" w:hAnsi="Calibri"/>
          <w:color w:val="000000" w:themeColor="text1"/>
          <w:shd w:val="clear" w:color="auto" w:fill="FFFFFF"/>
        </w:rPr>
        <w:t xml:space="preserve"> 12.5 que consagra </w:t>
      </w:r>
      <w:r w:rsidR="00F95BA3" w:rsidRPr="00EE25D1">
        <w:rPr>
          <w:rFonts w:ascii="Calibri" w:hAnsi="Calibri"/>
          <w:color w:val="000000" w:themeColor="text1"/>
          <w:shd w:val="clear" w:color="auto" w:fill="FFFFFF"/>
        </w:rPr>
        <w:t>un mandato para los Estados de adoptar</w:t>
      </w:r>
      <w:r w:rsidR="00F96C8F" w:rsidRPr="00EE25D1">
        <w:rPr>
          <w:rFonts w:ascii="Calibri" w:hAnsi="Calibri"/>
          <w:color w:val="000000" w:themeColor="text1"/>
          <w:shd w:val="clear" w:color="auto" w:fill="FFFFFF"/>
        </w:rPr>
        <w:t xml:space="preserve"> todas las medidas que garanticen la igualdad de condiciones para las personas con discapacidad</w:t>
      </w:r>
      <w:r w:rsidR="00F95BA3" w:rsidRPr="00EE25D1">
        <w:rPr>
          <w:rFonts w:ascii="Calibri" w:hAnsi="Calibri"/>
          <w:color w:val="000000" w:themeColor="text1"/>
          <w:shd w:val="clear" w:color="auto" w:fill="FFFFFF"/>
        </w:rPr>
        <w:t xml:space="preserve"> a fin de que</w:t>
      </w:r>
      <w:r w:rsidR="00F96C8F" w:rsidRPr="00EE25D1">
        <w:rPr>
          <w:rFonts w:ascii="Calibri" w:hAnsi="Calibri"/>
          <w:color w:val="000000" w:themeColor="text1"/>
          <w:shd w:val="clear" w:color="auto" w:fill="FFFFFF"/>
        </w:rPr>
        <w:t xml:space="preserve"> pueda</w:t>
      </w:r>
      <w:r w:rsidR="00F95BA3" w:rsidRPr="00EE25D1">
        <w:rPr>
          <w:rFonts w:ascii="Calibri" w:hAnsi="Calibri"/>
          <w:color w:val="000000" w:themeColor="text1"/>
          <w:shd w:val="clear" w:color="auto" w:fill="FFFFFF"/>
        </w:rPr>
        <w:t>n</w:t>
      </w:r>
      <w:r w:rsidR="00F96C8F" w:rsidRPr="00EE25D1">
        <w:rPr>
          <w:rFonts w:ascii="Calibri" w:hAnsi="Calibri"/>
          <w:color w:val="000000" w:themeColor="text1"/>
          <w:shd w:val="clear" w:color="auto" w:fill="FFFFFF"/>
        </w:rPr>
        <w:t xml:space="preserve"> controlar sus propios asuntos económicos. </w:t>
      </w:r>
    </w:p>
    <w:p w:rsidR="00F96C8F" w:rsidRPr="00EE25D1" w:rsidRDefault="00F96C8F"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Dada la raigambre contractual que tienen las capitulaciones matrimoniales, hasta tal punto </w:t>
      </w:r>
      <w:r w:rsidR="006B7FB1" w:rsidRPr="00EE25D1">
        <w:rPr>
          <w:rFonts w:ascii="Calibri" w:hAnsi="Calibri"/>
          <w:color w:val="000000" w:themeColor="text1"/>
          <w:shd w:val="clear" w:color="auto" w:fill="FFFFFF"/>
        </w:rPr>
        <w:t xml:space="preserve">de </w:t>
      </w:r>
      <w:r w:rsidRPr="00EE25D1">
        <w:rPr>
          <w:rFonts w:ascii="Calibri" w:hAnsi="Calibri"/>
          <w:color w:val="000000" w:themeColor="text1"/>
          <w:shd w:val="clear" w:color="auto" w:fill="FFFFFF"/>
        </w:rPr>
        <w:t xml:space="preserve">que en la redacción originaria del Código Civil se denominaban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contratos sobre bienes con ocasión del matrimonio</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w:t>
      </w:r>
      <w:r w:rsidRPr="00EE25D1">
        <w:rPr>
          <w:rFonts w:ascii="Calibri" w:hAnsi="Calibri"/>
          <w:i/>
          <w:color w:val="000000" w:themeColor="text1"/>
          <w:shd w:val="clear" w:color="auto" w:fill="FFFFFF"/>
        </w:rPr>
        <w:t>vid</w:t>
      </w:r>
      <w:r w:rsidRPr="00EE25D1">
        <w:rPr>
          <w:rFonts w:ascii="Calibri" w:hAnsi="Calibri"/>
          <w:color w:val="000000" w:themeColor="text1"/>
          <w:shd w:val="clear" w:color="auto" w:fill="FFFFFF"/>
        </w:rPr>
        <w:t>. Título III del Libro IV), y de la remis</w:t>
      </w:r>
      <w:r w:rsidR="00C71F23" w:rsidRPr="00EE25D1">
        <w:rPr>
          <w:rFonts w:ascii="Calibri" w:hAnsi="Calibri"/>
          <w:color w:val="000000" w:themeColor="text1"/>
          <w:shd w:val="clear" w:color="auto" w:fill="FFFFFF"/>
        </w:rPr>
        <w:t xml:space="preserve">ión que efectúa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1335 </w:t>
      </w:r>
      <w:r w:rsidRPr="00EE25D1">
        <w:rPr>
          <w:rFonts w:ascii="Calibri" w:hAnsi="Calibri"/>
          <w:color w:val="000000" w:themeColor="text1"/>
          <w:shd w:val="clear" w:color="auto" w:fill="FFFFFF"/>
        </w:rPr>
        <w:t>a las reglas generales de los contratos en cuanto a la invalidez de las mismas</w:t>
      </w:r>
      <w:r w:rsidR="001567B1" w:rsidRPr="00EE25D1">
        <w:rPr>
          <w:rStyle w:val="Refdenotaalpie"/>
          <w:rFonts w:ascii="Calibri" w:hAnsi="Calibri"/>
          <w:color w:val="000000" w:themeColor="text1"/>
          <w:shd w:val="clear" w:color="auto" w:fill="FFFFFF"/>
        </w:rPr>
        <w:footnoteReference w:id="40"/>
      </w:r>
      <w:r w:rsidRPr="00EE25D1">
        <w:rPr>
          <w:rFonts w:ascii="Calibri" w:hAnsi="Calibri"/>
          <w:color w:val="000000" w:themeColor="text1"/>
          <w:shd w:val="clear" w:color="auto" w:fill="FFFFFF"/>
        </w:rPr>
        <w:t xml:space="preserve">, </w:t>
      </w:r>
      <w:r w:rsidR="001567B1" w:rsidRPr="00EE25D1">
        <w:rPr>
          <w:rFonts w:ascii="Calibri" w:hAnsi="Calibri"/>
          <w:color w:val="000000" w:themeColor="text1"/>
          <w:shd w:val="clear" w:color="auto" w:fill="FFFFFF"/>
        </w:rPr>
        <w:t>estimamos que el juicio de aptitud del otorgante con discapacidad deberá hacerse al albur de la presunción de ca</w:t>
      </w:r>
      <w:r w:rsidR="006F631D" w:rsidRPr="00EE25D1">
        <w:rPr>
          <w:rFonts w:ascii="Calibri" w:hAnsi="Calibri"/>
          <w:color w:val="000000" w:themeColor="text1"/>
          <w:shd w:val="clear" w:color="auto" w:fill="FFFFFF"/>
        </w:rPr>
        <w:t>pac</w:t>
      </w:r>
      <w:r w:rsidR="000C0416" w:rsidRPr="00EE25D1">
        <w:rPr>
          <w:rFonts w:ascii="Calibri" w:hAnsi="Calibri"/>
          <w:color w:val="000000" w:themeColor="text1"/>
          <w:shd w:val="clear" w:color="auto" w:fill="FFFFFF"/>
        </w:rPr>
        <w:t xml:space="preserve">idad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1263</w:t>
      </w:r>
      <w:r w:rsidR="006F631D" w:rsidRPr="00EE25D1">
        <w:rPr>
          <w:rFonts w:ascii="Calibri" w:hAnsi="Calibri"/>
          <w:color w:val="000000" w:themeColor="text1"/>
          <w:shd w:val="clear" w:color="auto" w:fill="FFFFFF"/>
        </w:rPr>
        <w:t>, cuya dicción</w:t>
      </w:r>
      <w:r w:rsidR="001567B1" w:rsidRPr="00EE25D1">
        <w:rPr>
          <w:rFonts w:ascii="Calibri" w:hAnsi="Calibri"/>
          <w:color w:val="000000" w:themeColor="text1"/>
          <w:shd w:val="clear" w:color="auto" w:fill="FFFFFF"/>
        </w:rPr>
        <w:t xml:space="preserve">, tras la LAPCD, eliminó la regla general de que las personas con las capacidad modificada judicialmente no podían prestar el consentimiento. </w:t>
      </w:r>
    </w:p>
    <w:p w:rsidR="006F631D" w:rsidRPr="00EE25D1" w:rsidRDefault="00916FA1"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Sumergiéndonos en la capacidad capitular de las personas con discapacidad, y desligándonos de la regla </w:t>
      </w:r>
      <w:r w:rsidR="00171F36" w:rsidRPr="00EE25D1">
        <w:rPr>
          <w:rFonts w:ascii="Calibri" w:hAnsi="Calibri"/>
          <w:color w:val="000000" w:themeColor="text1"/>
          <w:shd w:val="clear" w:color="auto" w:fill="FFFFFF"/>
        </w:rPr>
        <w:t xml:space="preserve">habilis </w:t>
      </w:r>
      <w:r w:rsidR="00171F36" w:rsidRPr="00EE25D1">
        <w:rPr>
          <w:rFonts w:ascii="Calibri" w:hAnsi="Calibri"/>
          <w:i/>
          <w:color w:val="000000" w:themeColor="text1"/>
          <w:shd w:val="clear" w:color="auto" w:fill="FFFFFF"/>
        </w:rPr>
        <w:t>ad nuptias habilis ad pacta nuptialia</w:t>
      </w:r>
      <w:r w:rsidR="00171F36"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 xml:space="preserve">ya que no es lo mismo contraer matrimonio que </w:t>
      </w:r>
      <w:r w:rsidR="00F95BA3" w:rsidRPr="00EE25D1">
        <w:rPr>
          <w:rFonts w:ascii="Calibri" w:hAnsi="Calibri"/>
          <w:color w:val="000000" w:themeColor="text1"/>
          <w:shd w:val="clear" w:color="auto" w:fill="FFFFFF"/>
        </w:rPr>
        <w:t xml:space="preserve">otorgar </w:t>
      </w:r>
      <w:r w:rsidRPr="00EE25D1">
        <w:rPr>
          <w:rFonts w:ascii="Calibri" w:hAnsi="Calibri"/>
          <w:color w:val="000000" w:themeColor="text1"/>
          <w:shd w:val="clear" w:color="auto" w:fill="FFFFFF"/>
        </w:rPr>
        <w:t xml:space="preserve"> capitulacion</w:t>
      </w:r>
      <w:r w:rsidR="00171F36" w:rsidRPr="00EE25D1">
        <w:rPr>
          <w:rFonts w:ascii="Calibri" w:hAnsi="Calibri"/>
          <w:color w:val="000000" w:themeColor="text1"/>
          <w:shd w:val="clear" w:color="auto" w:fill="FFFFFF"/>
        </w:rPr>
        <w:t>es m</w:t>
      </w:r>
      <w:r w:rsidRPr="00EE25D1">
        <w:rPr>
          <w:rFonts w:ascii="Calibri" w:hAnsi="Calibri"/>
          <w:color w:val="000000" w:themeColor="text1"/>
          <w:shd w:val="clear" w:color="auto" w:fill="FFFFFF"/>
        </w:rPr>
        <w:t>atrimoniales, siendo este último</w:t>
      </w:r>
      <w:r w:rsidR="00F95BA3" w:rsidRPr="00EE25D1">
        <w:rPr>
          <w:rFonts w:ascii="Calibri" w:hAnsi="Calibri"/>
          <w:color w:val="000000" w:themeColor="text1"/>
          <w:shd w:val="clear" w:color="auto" w:fill="FFFFFF"/>
        </w:rPr>
        <w:t xml:space="preserve"> un</w:t>
      </w:r>
      <w:r w:rsidRPr="00EE25D1">
        <w:rPr>
          <w:rFonts w:ascii="Calibri" w:hAnsi="Calibri"/>
          <w:color w:val="000000" w:themeColor="text1"/>
          <w:shd w:val="clear" w:color="auto" w:fill="FFFFFF"/>
        </w:rPr>
        <w:t xml:space="preserve"> negocio más complejo, </w:t>
      </w:r>
      <w:r w:rsidR="005D3AAB" w:rsidRPr="00EE25D1">
        <w:rPr>
          <w:rFonts w:ascii="Calibri" w:hAnsi="Calibri"/>
          <w:color w:val="000000" w:themeColor="text1"/>
          <w:shd w:val="clear" w:color="auto" w:fill="FFFFFF"/>
        </w:rPr>
        <w:t xml:space="preserve">debemos de partir </w:t>
      </w:r>
      <w:r w:rsidR="006B7FB1" w:rsidRPr="00EE25D1">
        <w:rPr>
          <w:rFonts w:ascii="Calibri" w:hAnsi="Calibri"/>
          <w:color w:val="000000" w:themeColor="text1"/>
          <w:shd w:val="clear" w:color="auto" w:fill="FFFFFF"/>
        </w:rPr>
        <w:t>de la siguiente premisa: l</w:t>
      </w:r>
      <w:r w:rsidR="00171F36" w:rsidRPr="00EE25D1">
        <w:rPr>
          <w:rFonts w:ascii="Calibri" w:hAnsi="Calibri"/>
          <w:color w:val="000000" w:themeColor="text1"/>
          <w:shd w:val="clear" w:color="auto" w:fill="FFFFFF"/>
        </w:rPr>
        <w:t xml:space="preserve">as capitulaciones matrimoniales </w:t>
      </w:r>
      <w:r w:rsidR="006B7FB1" w:rsidRPr="00EE25D1">
        <w:rPr>
          <w:rFonts w:ascii="Calibri" w:hAnsi="Calibri"/>
          <w:color w:val="000000" w:themeColor="text1"/>
          <w:shd w:val="clear" w:color="auto" w:fill="FFFFFF"/>
        </w:rPr>
        <w:t>constituyen</w:t>
      </w:r>
      <w:r w:rsidR="00171F36" w:rsidRPr="00EE25D1">
        <w:rPr>
          <w:rFonts w:ascii="Calibri" w:hAnsi="Calibri"/>
          <w:color w:val="000000" w:themeColor="text1"/>
          <w:shd w:val="clear" w:color="auto" w:fill="FFFFFF"/>
        </w:rPr>
        <w:t xml:space="preserve"> negocio jurídico personalísimo, estando proscrita cualquier medida de apoyo con facultades de representación. </w:t>
      </w:r>
      <w:r w:rsidR="00171F36" w:rsidRPr="00EE25D1">
        <w:rPr>
          <w:rFonts w:ascii="Calibri" w:hAnsi="Calibri"/>
          <w:i/>
          <w:color w:val="000000" w:themeColor="text1"/>
          <w:shd w:val="clear" w:color="auto" w:fill="FFFFFF"/>
        </w:rPr>
        <w:t>A priori</w:t>
      </w:r>
      <w:r w:rsidR="00171F36" w:rsidRPr="00EE25D1">
        <w:rPr>
          <w:rFonts w:ascii="Calibri" w:hAnsi="Calibri"/>
          <w:color w:val="000000" w:themeColor="text1"/>
          <w:shd w:val="clear" w:color="auto" w:fill="FFFFFF"/>
        </w:rPr>
        <w:t>, la persona con discapacidad podrá otorgar capi</w:t>
      </w:r>
      <w:r w:rsidR="00F95BA3" w:rsidRPr="00EE25D1">
        <w:rPr>
          <w:rFonts w:ascii="Calibri" w:hAnsi="Calibri"/>
          <w:color w:val="000000" w:themeColor="text1"/>
          <w:shd w:val="clear" w:color="auto" w:fill="FFFFFF"/>
        </w:rPr>
        <w:t xml:space="preserve">tulaciones matrimoniales sin </w:t>
      </w:r>
      <w:r w:rsidR="00171F36" w:rsidRPr="00EE25D1">
        <w:rPr>
          <w:rFonts w:ascii="Calibri" w:hAnsi="Calibri"/>
          <w:color w:val="000000" w:themeColor="text1"/>
          <w:shd w:val="clear" w:color="auto" w:fill="FFFFFF"/>
        </w:rPr>
        <w:t>necesidad de apoyo, dada la presunción de capacidad; solo en el caso de que, a juicio del Notario, el otorgante no presente las</w:t>
      </w:r>
      <w:r w:rsidR="006F631D" w:rsidRPr="00EE25D1">
        <w:rPr>
          <w:rFonts w:ascii="Calibri" w:hAnsi="Calibri"/>
          <w:color w:val="000000" w:themeColor="text1"/>
          <w:shd w:val="clear" w:color="auto" w:fill="FFFFFF"/>
        </w:rPr>
        <w:t xml:space="preserve"> suficientes facultades</w:t>
      </w:r>
      <w:r w:rsidR="00F95BA3" w:rsidRPr="00EE25D1">
        <w:rPr>
          <w:rFonts w:ascii="Calibri" w:hAnsi="Calibri"/>
          <w:color w:val="000000" w:themeColor="text1"/>
          <w:shd w:val="clear" w:color="auto" w:fill="FFFFFF"/>
        </w:rPr>
        <w:t xml:space="preserve"> deberá</w:t>
      </w:r>
      <w:r w:rsidR="00171F36" w:rsidRPr="00EE25D1">
        <w:rPr>
          <w:rFonts w:ascii="Calibri" w:hAnsi="Calibri"/>
          <w:color w:val="000000" w:themeColor="text1"/>
          <w:shd w:val="clear" w:color="auto" w:fill="FFFFFF"/>
        </w:rPr>
        <w:t xml:space="preserve"> ent</w:t>
      </w:r>
      <w:r w:rsidR="005D3AAB" w:rsidRPr="00EE25D1">
        <w:rPr>
          <w:rFonts w:ascii="Calibri" w:hAnsi="Calibri"/>
          <w:color w:val="000000" w:themeColor="text1"/>
          <w:shd w:val="clear" w:color="auto" w:fill="FFFFFF"/>
        </w:rPr>
        <w:t xml:space="preserve">rar el apoyo que sea necesario y, si </w:t>
      </w:r>
      <w:r w:rsidR="00171F36" w:rsidRPr="00EE25D1">
        <w:rPr>
          <w:rFonts w:ascii="Calibri" w:hAnsi="Calibri"/>
          <w:color w:val="000000" w:themeColor="text1"/>
          <w:shd w:val="clear" w:color="auto" w:fill="FFFFFF"/>
        </w:rPr>
        <w:t>pese al apoyo,</w:t>
      </w:r>
      <w:r w:rsidR="005D3AAB" w:rsidRPr="00EE25D1">
        <w:rPr>
          <w:rFonts w:ascii="Calibri" w:hAnsi="Calibri"/>
          <w:color w:val="000000" w:themeColor="text1"/>
          <w:shd w:val="clear" w:color="auto" w:fill="FFFFFF"/>
        </w:rPr>
        <w:t xml:space="preserve"> </w:t>
      </w:r>
      <w:r w:rsidR="00F95BA3" w:rsidRPr="00EE25D1">
        <w:rPr>
          <w:rFonts w:ascii="Calibri" w:hAnsi="Calibri"/>
          <w:color w:val="000000" w:themeColor="text1"/>
          <w:shd w:val="clear" w:color="auto" w:fill="FFFFFF"/>
        </w:rPr>
        <w:t>aquel</w:t>
      </w:r>
      <w:r w:rsidR="00171F36" w:rsidRPr="00EE25D1">
        <w:rPr>
          <w:rFonts w:ascii="Calibri" w:hAnsi="Calibri"/>
          <w:color w:val="000000" w:themeColor="text1"/>
          <w:shd w:val="clear" w:color="auto" w:fill="FFFFFF"/>
        </w:rPr>
        <w:t xml:space="preserve"> no puede conformar su voluntad, no </w:t>
      </w:r>
      <w:r w:rsidR="006F631D" w:rsidRPr="00EE25D1">
        <w:rPr>
          <w:rFonts w:ascii="Calibri" w:hAnsi="Calibri"/>
          <w:color w:val="000000" w:themeColor="text1"/>
          <w:shd w:val="clear" w:color="auto" w:fill="FFFFFF"/>
        </w:rPr>
        <w:t>podrá otorgar</w:t>
      </w:r>
      <w:r w:rsidR="00171F36" w:rsidRPr="00EE25D1">
        <w:rPr>
          <w:rFonts w:ascii="Calibri" w:hAnsi="Calibri"/>
          <w:color w:val="000000" w:themeColor="text1"/>
          <w:shd w:val="clear" w:color="auto" w:fill="FFFFFF"/>
        </w:rPr>
        <w:t xml:space="preserve"> capitulaciones matrimoniales, rigiéndose el matrimonio por el régimen de sociedad de gananciales (</w:t>
      </w:r>
      <w:r w:rsidR="00545FB7" w:rsidRPr="00EE25D1">
        <w:rPr>
          <w:rFonts w:ascii="Calibri" w:hAnsi="Calibri"/>
        </w:rPr>
        <w:t>art.</w:t>
      </w:r>
      <w:r w:rsidR="000C0416" w:rsidRPr="00EE25D1">
        <w:rPr>
          <w:rFonts w:ascii="Calibri" w:hAnsi="Calibri"/>
          <w:color w:val="000000" w:themeColor="text1"/>
          <w:shd w:val="clear" w:color="auto" w:fill="FFFFFF"/>
        </w:rPr>
        <w:t xml:space="preserve"> </w:t>
      </w:r>
      <w:r w:rsidR="00171F36" w:rsidRPr="00EE25D1">
        <w:rPr>
          <w:rFonts w:ascii="Calibri" w:hAnsi="Calibri"/>
          <w:color w:val="000000" w:themeColor="text1"/>
          <w:shd w:val="clear" w:color="auto" w:fill="FFFFFF"/>
        </w:rPr>
        <w:t xml:space="preserve">1316 CC). </w:t>
      </w:r>
    </w:p>
    <w:p w:rsidR="005D3AAB" w:rsidRPr="00EE25D1" w:rsidRDefault="00171F36"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El leitmotiv es quién podrá dispensar el apoyo que pudiere precisar el otorgante.</w:t>
      </w:r>
      <w:r w:rsidR="006F631D" w:rsidRPr="00EE25D1">
        <w:rPr>
          <w:rFonts w:ascii="Calibri" w:hAnsi="Calibri"/>
          <w:color w:val="000000" w:themeColor="text1"/>
          <w:shd w:val="clear" w:color="auto" w:fill="FFFFFF"/>
        </w:rPr>
        <w:t xml:space="preserve"> </w:t>
      </w:r>
      <w:r w:rsidR="005D3AAB" w:rsidRPr="00EE25D1">
        <w:rPr>
          <w:rFonts w:ascii="Calibri" w:hAnsi="Calibri"/>
          <w:color w:val="000000" w:themeColor="text1"/>
          <w:shd w:val="clear" w:color="auto" w:fill="FFFFFF"/>
        </w:rPr>
        <w:t>Podría salir a la palestra el siguiente silogismo en cuanto a aquellas persona</w:t>
      </w:r>
      <w:r w:rsidR="00F95BA3" w:rsidRPr="00EE25D1">
        <w:rPr>
          <w:rFonts w:ascii="Calibri" w:hAnsi="Calibri"/>
          <w:color w:val="000000" w:themeColor="text1"/>
          <w:shd w:val="clear" w:color="auto" w:fill="FFFFFF"/>
        </w:rPr>
        <w:t>s</w:t>
      </w:r>
      <w:r w:rsidR="005D3AAB" w:rsidRPr="00EE25D1">
        <w:rPr>
          <w:rFonts w:ascii="Calibri" w:hAnsi="Calibri"/>
          <w:color w:val="000000" w:themeColor="text1"/>
          <w:shd w:val="clear" w:color="auto" w:fill="FFFFFF"/>
        </w:rPr>
        <w:t xml:space="preserve"> con discapacidad que no tienen las suficientes facultades intelectivas y volitivas para otorgar capitulaciones matrimoniales </w:t>
      </w:r>
      <w:r w:rsidR="005D3AAB" w:rsidRPr="00EE25D1">
        <w:rPr>
          <w:rFonts w:ascii="Calibri" w:hAnsi="Calibri"/>
          <w:i/>
          <w:color w:val="000000" w:themeColor="text1"/>
          <w:shd w:val="clear" w:color="auto" w:fill="FFFFFF"/>
        </w:rPr>
        <w:t>per se</w:t>
      </w:r>
      <w:r w:rsidR="006B7FB1" w:rsidRPr="00EE25D1">
        <w:rPr>
          <w:rFonts w:ascii="Calibri" w:hAnsi="Calibri"/>
          <w:color w:val="000000" w:themeColor="text1"/>
          <w:shd w:val="clear" w:color="auto" w:fill="FFFFFF"/>
        </w:rPr>
        <w:t>: c</w:t>
      </w:r>
      <w:r w:rsidR="005D3AAB" w:rsidRPr="00EE25D1">
        <w:rPr>
          <w:rFonts w:ascii="Calibri" w:hAnsi="Calibri"/>
          <w:color w:val="000000" w:themeColor="text1"/>
          <w:shd w:val="clear" w:color="auto" w:fill="FFFFFF"/>
        </w:rPr>
        <w:t>omo quiera que las capitulaciones matrimoniales deben perfeccionarse ante Notario (</w:t>
      </w:r>
      <w:r w:rsidR="00545FB7" w:rsidRPr="00EE25D1">
        <w:rPr>
          <w:rFonts w:ascii="Calibri" w:hAnsi="Calibri"/>
        </w:rPr>
        <w:t>art.</w:t>
      </w:r>
      <w:r w:rsidR="005D3AAB" w:rsidRPr="00EE25D1">
        <w:rPr>
          <w:rFonts w:ascii="Calibri" w:hAnsi="Calibri"/>
          <w:color w:val="000000" w:themeColor="text1"/>
          <w:shd w:val="clear" w:color="auto" w:fill="FFFFFF"/>
        </w:rPr>
        <w:t xml:space="preserve"> 1327 CC), este podrá dispensar a la persona con discapacidad e</w:t>
      </w:r>
      <w:r w:rsidR="00C01098" w:rsidRPr="00EE25D1">
        <w:rPr>
          <w:rFonts w:ascii="Calibri" w:hAnsi="Calibri"/>
          <w:color w:val="000000" w:themeColor="text1"/>
          <w:shd w:val="clear" w:color="auto" w:fill="FFFFFF"/>
        </w:rPr>
        <w:t>l apoyo necesario para que pueda</w:t>
      </w:r>
      <w:r w:rsidR="00BD46B0" w:rsidRPr="00EE25D1">
        <w:rPr>
          <w:rFonts w:ascii="Calibri" w:hAnsi="Calibri"/>
          <w:color w:val="000000" w:themeColor="text1"/>
          <w:shd w:val="clear" w:color="auto" w:fill="FFFFFF"/>
        </w:rPr>
        <w:t>n</w:t>
      </w:r>
      <w:r w:rsidR="005D3AAB" w:rsidRPr="00EE25D1">
        <w:rPr>
          <w:rFonts w:ascii="Calibri" w:hAnsi="Calibri"/>
          <w:color w:val="000000" w:themeColor="text1"/>
          <w:shd w:val="clear" w:color="auto" w:fill="FFFFFF"/>
        </w:rPr>
        <w:t xml:space="preserve"> comprender</w:t>
      </w:r>
      <w:r w:rsidR="00F95BA3" w:rsidRPr="00EE25D1">
        <w:rPr>
          <w:rFonts w:ascii="Calibri" w:hAnsi="Calibri"/>
          <w:color w:val="000000" w:themeColor="text1"/>
          <w:shd w:val="clear" w:color="auto" w:fill="FFFFFF"/>
        </w:rPr>
        <w:t xml:space="preserve"> y</w:t>
      </w:r>
      <w:r w:rsidR="005D3AAB" w:rsidRPr="00EE25D1">
        <w:rPr>
          <w:rFonts w:ascii="Calibri" w:hAnsi="Calibri"/>
          <w:color w:val="000000" w:themeColor="text1"/>
          <w:shd w:val="clear" w:color="auto" w:fill="FFFFFF"/>
        </w:rPr>
        <w:t xml:space="preserve"> manifestar el alcance de sus disposiciones, ayudándole en el proceso de toma de decisiones, tal y como encomienda el legislador al fedatario púb</w:t>
      </w:r>
      <w:r w:rsidR="000C0416" w:rsidRPr="00EE25D1">
        <w:rPr>
          <w:rFonts w:ascii="Calibri" w:hAnsi="Calibri"/>
          <w:color w:val="000000" w:themeColor="text1"/>
          <w:shd w:val="clear" w:color="auto" w:fill="FFFFFF"/>
        </w:rPr>
        <w:t>lico en sede testamentaria (</w:t>
      </w:r>
      <w:r w:rsidR="00545FB7" w:rsidRPr="00EE25D1">
        <w:rPr>
          <w:rFonts w:ascii="Calibri" w:hAnsi="Calibri"/>
        </w:rPr>
        <w:t>art.</w:t>
      </w:r>
      <w:r w:rsidR="005D3AAB" w:rsidRPr="00EE25D1">
        <w:rPr>
          <w:rFonts w:ascii="Calibri" w:hAnsi="Calibri"/>
          <w:color w:val="000000" w:themeColor="text1"/>
          <w:shd w:val="clear" w:color="auto" w:fill="FFFFFF"/>
        </w:rPr>
        <w:t xml:space="preserve"> 665 CC)</w:t>
      </w:r>
      <w:r w:rsidR="009022F5" w:rsidRPr="00EE25D1">
        <w:rPr>
          <w:rStyle w:val="Refdenotaalpie"/>
          <w:rFonts w:ascii="Calibri" w:hAnsi="Calibri"/>
          <w:color w:val="000000" w:themeColor="text1"/>
          <w:shd w:val="clear" w:color="auto" w:fill="FFFFFF"/>
        </w:rPr>
        <w:footnoteReference w:id="41"/>
      </w:r>
      <w:r w:rsidR="005D3AAB" w:rsidRPr="00EE25D1">
        <w:rPr>
          <w:rFonts w:ascii="Calibri" w:hAnsi="Calibri"/>
          <w:color w:val="000000" w:themeColor="text1"/>
          <w:shd w:val="clear" w:color="auto" w:fill="FFFFFF"/>
        </w:rPr>
        <w:t xml:space="preserve">. </w:t>
      </w:r>
    </w:p>
    <w:p w:rsidR="005D3AAB" w:rsidRPr="00EE25D1" w:rsidRDefault="00C01098"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En</w:t>
      </w:r>
      <w:r w:rsidR="005D3AAB" w:rsidRPr="00EE25D1">
        <w:rPr>
          <w:rFonts w:ascii="Calibri" w:hAnsi="Calibri"/>
          <w:color w:val="000000" w:themeColor="text1"/>
          <w:shd w:val="clear" w:color="auto" w:fill="FFFFFF"/>
        </w:rPr>
        <w:t xml:space="preserve"> nuestra opinión, no es posible la aplicación analógica del </w:t>
      </w:r>
      <w:r w:rsidR="00713CC7" w:rsidRPr="00EE25D1">
        <w:rPr>
          <w:rFonts w:ascii="Calibri" w:hAnsi="Calibri"/>
          <w:color w:val="000000" w:themeColor="text1"/>
          <w:shd w:val="clear" w:color="auto" w:fill="FFFFFF"/>
        </w:rPr>
        <w:t>“</w:t>
      </w:r>
      <w:r w:rsidR="005D3AAB" w:rsidRPr="00EE25D1">
        <w:rPr>
          <w:rFonts w:ascii="Calibri" w:hAnsi="Calibri"/>
          <w:color w:val="000000" w:themeColor="text1"/>
          <w:shd w:val="clear" w:color="auto" w:fill="FFFFFF"/>
        </w:rPr>
        <w:t>apoyo institucional</w:t>
      </w:r>
      <w:r w:rsidR="00713CC7" w:rsidRPr="00EE25D1">
        <w:rPr>
          <w:rFonts w:ascii="Calibri" w:hAnsi="Calibri"/>
          <w:color w:val="000000" w:themeColor="text1"/>
          <w:shd w:val="clear" w:color="auto" w:fill="FFFFFF"/>
        </w:rPr>
        <w:t>”</w:t>
      </w:r>
      <w:r w:rsidR="005D3AAB" w:rsidRPr="00EE25D1">
        <w:rPr>
          <w:rFonts w:ascii="Calibri" w:hAnsi="Calibri"/>
          <w:color w:val="000000" w:themeColor="text1"/>
          <w:shd w:val="clear" w:color="auto" w:fill="FFFFFF"/>
        </w:rPr>
        <w:t xml:space="preserve"> en sede de capitulaciones matrimoniales, ya q</w:t>
      </w:r>
      <w:r w:rsidR="000C0416" w:rsidRPr="00EE25D1">
        <w:rPr>
          <w:rFonts w:ascii="Calibri" w:hAnsi="Calibri"/>
          <w:color w:val="000000" w:themeColor="text1"/>
          <w:shd w:val="clear" w:color="auto" w:fill="FFFFFF"/>
        </w:rPr>
        <w:t xml:space="preserve">ue el fundamento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665 </w:t>
      </w:r>
      <w:r w:rsidR="00C71F23" w:rsidRPr="00EE25D1">
        <w:rPr>
          <w:rFonts w:ascii="Calibri" w:hAnsi="Calibri"/>
        </w:rPr>
        <w:t>del Código Civil</w:t>
      </w:r>
      <w:r w:rsidR="005D3AAB" w:rsidRPr="00EE25D1">
        <w:rPr>
          <w:rFonts w:ascii="Calibri" w:hAnsi="Calibri"/>
          <w:color w:val="000000" w:themeColor="text1"/>
          <w:shd w:val="clear" w:color="auto" w:fill="FFFFFF"/>
        </w:rPr>
        <w:t xml:space="preserve"> es preciso, </w:t>
      </w:r>
      <w:r w:rsidR="00F95BA3" w:rsidRPr="00EE25D1">
        <w:rPr>
          <w:rFonts w:ascii="Calibri" w:hAnsi="Calibri"/>
          <w:color w:val="000000" w:themeColor="text1"/>
          <w:shd w:val="clear" w:color="auto" w:fill="FFFFFF"/>
        </w:rPr>
        <w:t>pese a que no lo dijera</w:t>
      </w:r>
      <w:r w:rsidR="005D3AAB" w:rsidRPr="00EE25D1">
        <w:rPr>
          <w:rFonts w:ascii="Calibri" w:hAnsi="Calibri"/>
          <w:color w:val="000000" w:themeColor="text1"/>
          <w:shd w:val="clear" w:color="auto" w:fill="FFFFFF"/>
        </w:rPr>
        <w:t xml:space="preserve"> el legislador en la LAPCD. Aunque la Exposición de Motivos ensalce el valor y la solidaridad </w:t>
      </w:r>
      <w:r w:rsidR="00793644" w:rsidRPr="00EE25D1">
        <w:rPr>
          <w:rFonts w:ascii="Calibri" w:hAnsi="Calibri"/>
          <w:color w:val="000000" w:themeColor="text1"/>
          <w:shd w:val="clear" w:color="auto" w:fill="FFFFFF"/>
        </w:rPr>
        <w:t>familiar</w:t>
      </w:r>
      <w:r w:rsidR="005D3AAB" w:rsidRPr="00EE25D1">
        <w:rPr>
          <w:rFonts w:ascii="Calibri" w:hAnsi="Calibri"/>
          <w:color w:val="000000" w:themeColor="text1"/>
          <w:shd w:val="clear" w:color="auto" w:fill="FFFFFF"/>
        </w:rPr>
        <w:t xml:space="preserve"> para dignificar la </w:t>
      </w:r>
      <w:r w:rsidR="00793644" w:rsidRPr="00EE25D1">
        <w:rPr>
          <w:rFonts w:ascii="Calibri" w:hAnsi="Calibri"/>
          <w:color w:val="000000" w:themeColor="text1"/>
          <w:shd w:val="clear" w:color="auto" w:fill="FFFFFF"/>
        </w:rPr>
        <w:t>figura de la</w:t>
      </w:r>
      <w:r w:rsidR="005D3AAB" w:rsidRPr="00EE25D1">
        <w:rPr>
          <w:rFonts w:ascii="Calibri" w:hAnsi="Calibri"/>
          <w:color w:val="000000" w:themeColor="text1"/>
          <w:shd w:val="clear" w:color="auto" w:fill="FFFFFF"/>
        </w:rPr>
        <w:t xml:space="preserve"> guarda de hecho, ocultado que el fin de la generalización de la medida informal es descongestionar la administración de justicia, el legislador, en el ámbito t</w:t>
      </w:r>
      <w:r w:rsidR="00793644" w:rsidRPr="00EE25D1">
        <w:rPr>
          <w:rFonts w:ascii="Calibri" w:hAnsi="Calibri"/>
          <w:color w:val="000000" w:themeColor="text1"/>
          <w:shd w:val="clear" w:color="auto" w:fill="FFFFFF"/>
        </w:rPr>
        <w:t xml:space="preserve">estamentario, albergó </w:t>
      </w:r>
      <w:r w:rsidR="005D3AAB" w:rsidRPr="00EE25D1">
        <w:rPr>
          <w:rFonts w:ascii="Calibri" w:hAnsi="Calibri"/>
          <w:color w:val="000000" w:themeColor="text1"/>
          <w:shd w:val="clear" w:color="auto" w:fill="FFFFFF"/>
        </w:rPr>
        <w:t>suspicacias d</w:t>
      </w:r>
      <w:r w:rsidR="00793644" w:rsidRPr="00EE25D1">
        <w:rPr>
          <w:rFonts w:ascii="Calibri" w:hAnsi="Calibri"/>
          <w:color w:val="000000" w:themeColor="text1"/>
          <w:shd w:val="clear" w:color="auto" w:fill="FFFFFF"/>
        </w:rPr>
        <w:t>e los lazos familiares</w:t>
      </w:r>
      <w:r w:rsidR="006B7FB1" w:rsidRPr="00EE25D1">
        <w:rPr>
          <w:rFonts w:ascii="Calibri" w:hAnsi="Calibri"/>
          <w:color w:val="000000" w:themeColor="text1"/>
          <w:shd w:val="clear" w:color="auto" w:fill="FFFFFF"/>
        </w:rPr>
        <w:t>, entendiendo que estos, al amparo de un</w:t>
      </w:r>
      <w:r w:rsidR="005D3AAB" w:rsidRPr="00EE25D1">
        <w:rPr>
          <w:rFonts w:ascii="Calibri" w:hAnsi="Calibri"/>
          <w:color w:val="000000" w:themeColor="text1"/>
          <w:shd w:val="clear" w:color="auto" w:fill="FFFFFF"/>
        </w:rPr>
        <w:t xml:space="preserve"> </w:t>
      </w:r>
      <w:r w:rsidR="00713CC7" w:rsidRPr="00EE25D1">
        <w:rPr>
          <w:rFonts w:ascii="Calibri" w:hAnsi="Calibri"/>
          <w:color w:val="000000" w:themeColor="text1"/>
          <w:shd w:val="clear" w:color="auto" w:fill="FFFFFF"/>
        </w:rPr>
        <w:t>“</w:t>
      </w:r>
      <w:r w:rsidR="005D3AAB" w:rsidRPr="00EE25D1">
        <w:rPr>
          <w:rFonts w:ascii="Calibri" w:hAnsi="Calibri"/>
          <w:color w:val="000000" w:themeColor="text1"/>
          <w:shd w:val="clear" w:color="auto" w:fill="FFFFFF"/>
        </w:rPr>
        <w:t xml:space="preserve">falso </w:t>
      </w:r>
      <w:r w:rsidR="0026528D" w:rsidRPr="00EE25D1">
        <w:rPr>
          <w:rFonts w:ascii="Calibri" w:hAnsi="Calibri"/>
          <w:color w:val="000000" w:themeColor="text1"/>
          <w:shd w:val="clear" w:color="auto" w:fill="FFFFFF"/>
        </w:rPr>
        <w:t>apoyo</w:t>
      </w:r>
      <w:r w:rsidR="00713CC7" w:rsidRPr="00EE25D1">
        <w:rPr>
          <w:rFonts w:ascii="Calibri" w:hAnsi="Calibri"/>
          <w:color w:val="000000" w:themeColor="text1"/>
          <w:shd w:val="clear" w:color="auto" w:fill="FFFFFF"/>
        </w:rPr>
        <w:t>”</w:t>
      </w:r>
      <w:r w:rsidR="00793644" w:rsidRPr="00EE25D1">
        <w:rPr>
          <w:rFonts w:ascii="Calibri" w:hAnsi="Calibri"/>
          <w:color w:val="000000" w:themeColor="text1"/>
          <w:shd w:val="clear" w:color="auto" w:fill="FFFFFF"/>
        </w:rPr>
        <w:t>, sea</w:t>
      </w:r>
      <w:r w:rsidR="006B7FB1" w:rsidRPr="00EE25D1">
        <w:rPr>
          <w:rFonts w:ascii="Calibri" w:hAnsi="Calibri"/>
          <w:color w:val="000000" w:themeColor="text1"/>
          <w:shd w:val="clear" w:color="auto" w:fill="FFFFFF"/>
        </w:rPr>
        <w:t>n el caldo de cultivo de</w:t>
      </w:r>
      <w:r w:rsidR="005D3AAB" w:rsidRPr="00EE25D1">
        <w:rPr>
          <w:rFonts w:ascii="Calibri" w:hAnsi="Calibri"/>
          <w:color w:val="000000" w:themeColor="text1"/>
          <w:shd w:val="clear" w:color="auto" w:fill="FFFFFF"/>
        </w:rPr>
        <w:t xml:space="preserve"> captaciones de voluntad del pariente que, por el deterioro de sus facultades, precisa de ayuda para exteriorizar </w:t>
      </w:r>
      <w:r w:rsidR="0026528D" w:rsidRPr="00EE25D1">
        <w:rPr>
          <w:rFonts w:ascii="Calibri" w:hAnsi="Calibri"/>
          <w:color w:val="000000" w:themeColor="text1"/>
          <w:shd w:val="clear" w:color="auto" w:fill="FFFFFF"/>
        </w:rPr>
        <w:t>o</w:t>
      </w:r>
      <w:r w:rsidR="005D3AAB" w:rsidRPr="00EE25D1">
        <w:rPr>
          <w:rFonts w:ascii="Calibri" w:hAnsi="Calibri"/>
          <w:color w:val="000000" w:themeColor="text1"/>
          <w:shd w:val="clear" w:color="auto" w:fill="FFFFFF"/>
        </w:rPr>
        <w:t xml:space="preserve"> conformar su última voluntad</w:t>
      </w:r>
      <w:r w:rsidR="00793644" w:rsidRPr="00EE25D1">
        <w:rPr>
          <w:rStyle w:val="Refdenotaalpie"/>
          <w:rFonts w:ascii="Calibri" w:hAnsi="Calibri"/>
          <w:color w:val="000000" w:themeColor="text1"/>
          <w:shd w:val="clear" w:color="auto" w:fill="FFFFFF"/>
        </w:rPr>
        <w:footnoteReference w:id="42"/>
      </w:r>
      <w:r w:rsidR="005D3AAB" w:rsidRPr="00EE25D1">
        <w:rPr>
          <w:rFonts w:ascii="Calibri" w:hAnsi="Calibri"/>
          <w:color w:val="000000" w:themeColor="text1"/>
          <w:shd w:val="clear" w:color="auto" w:fill="FFFFFF"/>
        </w:rPr>
        <w:t xml:space="preserve">. </w:t>
      </w:r>
      <w:r w:rsidR="0026528D" w:rsidRPr="00EE25D1">
        <w:rPr>
          <w:rFonts w:ascii="Calibri" w:hAnsi="Calibri"/>
          <w:color w:val="000000" w:themeColor="text1"/>
          <w:shd w:val="clear" w:color="auto" w:fill="FFFFFF"/>
        </w:rPr>
        <w:t xml:space="preserve">Justificado </w:t>
      </w:r>
      <w:r w:rsidR="000C0416" w:rsidRPr="00EE25D1">
        <w:rPr>
          <w:rFonts w:ascii="Calibri" w:hAnsi="Calibri"/>
          <w:color w:val="000000" w:themeColor="text1"/>
          <w:shd w:val="clear" w:color="auto" w:fill="FFFFFF"/>
        </w:rPr>
        <w:t xml:space="preserve">o no este recelo,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665 </w:t>
      </w:r>
      <w:r w:rsidR="0026528D" w:rsidRPr="00EE25D1">
        <w:rPr>
          <w:rFonts w:ascii="Calibri" w:hAnsi="Calibri"/>
          <w:color w:val="000000" w:themeColor="text1"/>
          <w:shd w:val="clear" w:color="auto" w:fill="FFFFFF"/>
        </w:rPr>
        <w:t>consagró el apoyo instituciona</w:t>
      </w:r>
      <w:r w:rsidR="00F95BA3" w:rsidRPr="00EE25D1">
        <w:rPr>
          <w:rFonts w:ascii="Calibri" w:hAnsi="Calibri"/>
          <w:color w:val="000000" w:themeColor="text1"/>
          <w:shd w:val="clear" w:color="auto" w:fill="FFFFFF"/>
        </w:rPr>
        <w:t>l</w:t>
      </w:r>
      <w:r w:rsidR="0026528D" w:rsidRPr="00EE25D1">
        <w:rPr>
          <w:rFonts w:ascii="Calibri" w:hAnsi="Calibri"/>
          <w:color w:val="000000" w:themeColor="text1"/>
          <w:shd w:val="clear" w:color="auto" w:fill="FFFFFF"/>
        </w:rPr>
        <w:t xml:space="preserve"> del Notario, omitiendo</w:t>
      </w:r>
      <w:r w:rsidR="000B2C05" w:rsidRPr="00EE25D1">
        <w:rPr>
          <w:rFonts w:ascii="Calibri" w:hAnsi="Calibri"/>
          <w:color w:val="000000" w:themeColor="text1"/>
          <w:shd w:val="clear" w:color="auto" w:fill="FFFFFF"/>
        </w:rPr>
        <w:t>, al menos sobre la literalidad de la norma,</w:t>
      </w:r>
      <w:r w:rsidR="0026528D" w:rsidRPr="00EE25D1">
        <w:rPr>
          <w:rFonts w:ascii="Calibri" w:hAnsi="Calibri"/>
          <w:color w:val="000000" w:themeColor="text1"/>
          <w:shd w:val="clear" w:color="auto" w:fill="FFFFFF"/>
        </w:rPr>
        <w:t xml:space="preserve"> la posibilidad de la funcionalidad de las medidas de apoyo judiciales, voluntarias o </w:t>
      </w:r>
      <w:r w:rsidR="00F95BA3" w:rsidRPr="00EE25D1">
        <w:rPr>
          <w:rFonts w:ascii="Calibri" w:hAnsi="Calibri"/>
          <w:color w:val="000000" w:themeColor="text1"/>
          <w:shd w:val="clear" w:color="auto" w:fill="FFFFFF"/>
        </w:rPr>
        <w:t>informales en sede testamentaria</w:t>
      </w:r>
      <w:r w:rsidR="0026528D" w:rsidRPr="00EE25D1">
        <w:rPr>
          <w:rFonts w:ascii="Calibri" w:hAnsi="Calibri"/>
          <w:color w:val="000000" w:themeColor="text1"/>
          <w:shd w:val="clear" w:color="auto" w:fill="FFFFFF"/>
        </w:rPr>
        <w:t>. D</w:t>
      </w:r>
      <w:r w:rsidR="000C0416" w:rsidRPr="00EE25D1">
        <w:rPr>
          <w:rFonts w:ascii="Calibri" w:hAnsi="Calibri"/>
          <w:color w:val="000000" w:themeColor="text1"/>
          <w:shd w:val="clear" w:color="auto" w:fill="FFFFFF"/>
        </w:rPr>
        <w:t xml:space="preserve">ada la redacción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665</w:t>
      </w:r>
      <w:r w:rsidR="00F95BA3" w:rsidRPr="00EE25D1">
        <w:rPr>
          <w:rFonts w:ascii="Calibri" w:hAnsi="Calibri"/>
          <w:color w:val="000000" w:themeColor="text1"/>
          <w:shd w:val="clear" w:color="auto" w:fill="FFFFFF"/>
        </w:rPr>
        <w:t>,</w:t>
      </w:r>
      <w:r w:rsidR="0026528D" w:rsidRPr="00EE25D1">
        <w:rPr>
          <w:rFonts w:ascii="Calibri" w:hAnsi="Calibri"/>
          <w:color w:val="000000" w:themeColor="text1"/>
          <w:shd w:val="clear" w:color="auto" w:fill="FFFFFF"/>
        </w:rPr>
        <w:t xml:space="preserve"> lo lóg</w:t>
      </w:r>
      <w:r w:rsidR="000C0416" w:rsidRPr="00EE25D1">
        <w:rPr>
          <w:rFonts w:ascii="Calibri" w:hAnsi="Calibri"/>
          <w:color w:val="000000" w:themeColor="text1"/>
          <w:shd w:val="clear" w:color="auto" w:fill="FFFFFF"/>
        </w:rPr>
        <w:t xml:space="preserve">ico habría sido disponer en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1330</w:t>
      </w:r>
      <w:r w:rsidR="00AF4A5E" w:rsidRPr="00EE25D1">
        <w:rPr>
          <w:rFonts w:ascii="Calibri" w:hAnsi="Calibri"/>
          <w:color w:val="000000" w:themeColor="text1"/>
          <w:shd w:val="clear" w:color="auto" w:fill="FFFFFF"/>
        </w:rPr>
        <w:t xml:space="preserve"> que si el otorgante con discapacidad, a juicio del Notario, no puede comprender el alcance de sus disposiciones, este procurará que el otorgante desarrolle su propio proceso de toma de decisiones apoyándole en su comprensión y razonamiento y facilitando, con los ajustes que resulten necesarios, que pueda expresar su voluntad, deseos y preferencias. No obstante, no despierta el mismo celo el testamento, del cual se puede beneficiar cualquier pariente o incluso un tercero, que las capitulaciones matrimoniales, ya que el único sujeto que puede experimentar un beneficio y protagonizar, por ende, una captación de la voluntad, es el otro cónyuge, que sería excluido del apoyo en el pacto capitular por un evidente conflicto de intereses.</w:t>
      </w:r>
    </w:p>
    <w:p w:rsidR="00BC5BE9" w:rsidRPr="00EE25D1" w:rsidRDefault="0026528D"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Con este planteamiento no queremos excluir la pos</w:t>
      </w:r>
      <w:r w:rsidR="00F95BA3" w:rsidRPr="00EE25D1">
        <w:rPr>
          <w:rFonts w:ascii="Calibri" w:hAnsi="Calibri"/>
          <w:color w:val="000000" w:themeColor="text1"/>
          <w:shd w:val="clear" w:color="auto" w:fill="FFFFFF"/>
        </w:rPr>
        <w:t>ibilidad de que el Notario pueda</w:t>
      </w:r>
      <w:r w:rsidRPr="00EE25D1">
        <w:rPr>
          <w:rFonts w:ascii="Calibri" w:hAnsi="Calibri"/>
          <w:color w:val="000000" w:themeColor="text1"/>
          <w:shd w:val="clear" w:color="auto" w:fill="FFFFFF"/>
        </w:rPr>
        <w:t xml:space="preserve"> dispensar eventualmente</w:t>
      </w:r>
      <w:r w:rsidR="006F631D" w:rsidRPr="00EE25D1">
        <w:rPr>
          <w:rFonts w:ascii="Calibri" w:hAnsi="Calibri"/>
          <w:color w:val="000000" w:themeColor="text1"/>
          <w:shd w:val="clear" w:color="auto" w:fill="FFFFFF"/>
        </w:rPr>
        <w:t xml:space="preserve"> un</w:t>
      </w:r>
      <w:r w:rsidRPr="00EE25D1">
        <w:rPr>
          <w:rFonts w:ascii="Calibri" w:hAnsi="Calibri"/>
          <w:color w:val="000000" w:themeColor="text1"/>
          <w:shd w:val="clear" w:color="auto" w:fill="FFFFFF"/>
        </w:rPr>
        <w:t xml:space="preserve"> apoyo, pues si el otorgante con discapacidad puede comprender el alcance de las capitulaciones matrimoniales gracias </w:t>
      </w:r>
      <w:r w:rsidR="006B7FB1" w:rsidRPr="00EE25D1">
        <w:rPr>
          <w:rFonts w:ascii="Calibri" w:hAnsi="Calibri"/>
          <w:color w:val="000000" w:themeColor="text1"/>
          <w:shd w:val="clear" w:color="auto" w:fill="FFFFFF"/>
        </w:rPr>
        <w:t xml:space="preserve">a </w:t>
      </w:r>
      <w:r w:rsidRPr="00EE25D1">
        <w:rPr>
          <w:rFonts w:ascii="Calibri" w:hAnsi="Calibri"/>
          <w:color w:val="000000" w:themeColor="text1"/>
          <w:shd w:val="clear" w:color="auto" w:fill="FFFFFF"/>
        </w:rPr>
        <w:t>la labor</w:t>
      </w:r>
      <w:r w:rsidR="00F95BA3" w:rsidRPr="00EE25D1">
        <w:rPr>
          <w:rFonts w:ascii="Calibri" w:hAnsi="Calibri"/>
          <w:color w:val="000000" w:themeColor="text1"/>
          <w:shd w:val="clear" w:color="auto" w:fill="FFFFFF"/>
        </w:rPr>
        <w:t xml:space="preserve"> técnica</w:t>
      </w:r>
      <w:r w:rsidRPr="00EE25D1">
        <w:rPr>
          <w:rFonts w:ascii="Calibri" w:hAnsi="Calibri"/>
          <w:color w:val="000000" w:themeColor="text1"/>
          <w:shd w:val="clear" w:color="auto" w:fill="FFFFFF"/>
        </w:rPr>
        <w:t xml:space="preserve"> del Notario el deb</w:t>
      </w:r>
      <w:r w:rsidR="0025160B" w:rsidRPr="00EE25D1">
        <w:rPr>
          <w:rFonts w:ascii="Calibri" w:hAnsi="Calibri"/>
          <w:color w:val="000000" w:themeColor="text1"/>
          <w:shd w:val="clear" w:color="auto" w:fill="FFFFFF"/>
        </w:rPr>
        <w:t>ate se diluye como un terrón de azúcar</w:t>
      </w:r>
      <w:r w:rsidRPr="00EE25D1">
        <w:rPr>
          <w:rFonts w:ascii="Calibri" w:hAnsi="Calibri"/>
          <w:color w:val="000000" w:themeColor="text1"/>
          <w:shd w:val="clear" w:color="auto" w:fill="FFFFFF"/>
        </w:rPr>
        <w:t xml:space="preserve"> en un café caliente, pues el  concepto de apoyo es muy amplio; pero sí rechazamos aquel</w:t>
      </w:r>
      <w:r w:rsidR="006B7FB1" w:rsidRPr="00EE25D1">
        <w:rPr>
          <w:rFonts w:ascii="Calibri" w:hAnsi="Calibri"/>
          <w:color w:val="000000" w:themeColor="text1"/>
          <w:shd w:val="clear" w:color="auto" w:fill="FFFFFF"/>
        </w:rPr>
        <w:t>las construcciones que pretenden</w:t>
      </w:r>
      <w:r w:rsidR="00F95BA3" w:rsidRPr="00EE25D1">
        <w:rPr>
          <w:rFonts w:ascii="Calibri" w:hAnsi="Calibri"/>
          <w:color w:val="000000" w:themeColor="text1"/>
          <w:shd w:val="clear" w:color="auto" w:fill="FFFFFF"/>
        </w:rPr>
        <w:t xml:space="preserve"> sacralizar el apoyo institucional</w:t>
      </w:r>
      <w:r w:rsidRPr="00EE25D1">
        <w:rPr>
          <w:rFonts w:ascii="Calibri" w:hAnsi="Calibri"/>
          <w:color w:val="000000" w:themeColor="text1"/>
          <w:shd w:val="clear" w:color="auto" w:fill="FFFFFF"/>
        </w:rPr>
        <w:t xml:space="preserve"> del Notario excluyendo el resto de medidas, máxime cuando puede ser que algunas medidas de apoyo, como las voluntarias, emanen de la soberana voluntad de la person</w:t>
      </w:r>
      <w:r w:rsidR="00F95BA3" w:rsidRPr="00EE25D1">
        <w:rPr>
          <w:rFonts w:ascii="Calibri" w:hAnsi="Calibri"/>
          <w:color w:val="000000" w:themeColor="text1"/>
          <w:shd w:val="clear" w:color="auto" w:fill="FFFFFF"/>
        </w:rPr>
        <w:t>a con discapacidad que pretende</w:t>
      </w:r>
      <w:r w:rsidRPr="00EE25D1">
        <w:rPr>
          <w:rFonts w:ascii="Calibri" w:hAnsi="Calibri"/>
          <w:color w:val="000000" w:themeColor="text1"/>
          <w:shd w:val="clear" w:color="auto" w:fill="FFFFFF"/>
        </w:rPr>
        <w:t xml:space="preserve"> otorgar capitulaciones matrimoniales. </w:t>
      </w:r>
    </w:p>
    <w:p w:rsidR="00ED5E34" w:rsidRPr="00EE25D1" w:rsidRDefault="00A91C27" w:rsidP="00D44BF1">
      <w:pPr>
        <w:tabs>
          <w:tab w:val="left" w:pos="8505"/>
        </w:tabs>
        <w:spacing w:before="100" w:beforeAutospacing="1" w:after="100" w:afterAutospacing="1"/>
        <w:rPr>
          <w:rFonts w:ascii="Calibri" w:hAnsi="Calibri"/>
          <w:b/>
          <w:smallCaps/>
        </w:rPr>
      </w:pPr>
      <w:r w:rsidRPr="00EE25D1">
        <w:rPr>
          <w:rFonts w:ascii="Calibri" w:hAnsi="Calibri"/>
          <w:b/>
          <w:smallCaps/>
        </w:rPr>
        <w:t>4</w:t>
      </w:r>
      <w:r w:rsidR="00ED5E34" w:rsidRPr="00EE25D1">
        <w:rPr>
          <w:rFonts w:ascii="Calibri" w:hAnsi="Calibri"/>
          <w:b/>
          <w:smallCaps/>
        </w:rPr>
        <w:t xml:space="preserve">. </w:t>
      </w:r>
      <w:r w:rsidR="00B805CF" w:rsidRPr="00EE25D1">
        <w:rPr>
          <w:rFonts w:ascii="Calibri" w:hAnsi="Calibri"/>
          <w:b/>
          <w:smallCaps/>
        </w:rPr>
        <w:t>G</w:t>
      </w:r>
      <w:r w:rsidR="003B446E" w:rsidRPr="00EE25D1">
        <w:rPr>
          <w:rFonts w:ascii="Calibri" w:hAnsi="Calibri"/>
          <w:b/>
          <w:smallCaps/>
        </w:rPr>
        <w:t>estión y disolución de la sociedad de gananciales: exégesis de los artículos 1387 y 1393.1º</w:t>
      </w:r>
      <w:r w:rsidR="00C02EF1" w:rsidRPr="00EE25D1">
        <w:rPr>
          <w:rFonts w:ascii="Calibri" w:hAnsi="Calibri"/>
          <w:b/>
          <w:smallCaps/>
        </w:rPr>
        <w:t xml:space="preserve"> </w:t>
      </w:r>
      <w:r w:rsidR="003B446E" w:rsidRPr="00EE25D1">
        <w:rPr>
          <w:rFonts w:ascii="Calibri" w:hAnsi="Calibri"/>
          <w:b/>
          <w:smallCaps/>
          <w:color w:val="000000" w:themeColor="text1"/>
          <w:shd w:val="clear" w:color="auto" w:fill="FFFFFF"/>
        </w:rPr>
        <w:t>del Código Civil</w:t>
      </w:r>
    </w:p>
    <w:p w:rsidR="00577154" w:rsidRPr="00EE25D1" w:rsidRDefault="00577154" w:rsidP="00D44BF1">
      <w:pPr>
        <w:tabs>
          <w:tab w:val="left" w:pos="8505"/>
        </w:tabs>
        <w:spacing w:before="100" w:beforeAutospacing="1" w:after="100" w:afterAutospacing="1"/>
        <w:rPr>
          <w:rFonts w:ascii="Calibri" w:hAnsi="Calibri"/>
        </w:rPr>
      </w:pPr>
      <w:r w:rsidRPr="00EE25D1">
        <w:rPr>
          <w:rFonts w:ascii="Calibri" w:hAnsi="Calibri"/>
        </w:rPr>
        <w:t>Entre las modifi</w:t>
      </w:r>
      <w:r w:rsidR="006B7FB1" w:rsidRPr="00EE25D1">
        <w:rPr>
          <w:rFonts w:ascii="Calibri" w:hAnsi="Calibri"/>
        </w:rPr>
        <w:t xml:space="preserve">caciones de la LAPCD que afectaron </w:t>
      </w:r>
      <w:r w:rsidRPr="00EE25D1">
        <w:rPr>
          <w:rFonts w:ascii="Calibri" w:hAnsi="Calibri"/>
        </w:rPr>
        <w:t xml:space="preserve">al Derecho de familia nos encontramos </w:t>
      </w:r>
      <w:r w:rsidR="005A152B" w:rsidRPr="00EE25D1">
        <w:rPr>
          <w:rFonts w:ascii="Calibri" w:hAnsi="Calibri"/>
        </w:rPr>
        <w:t xml:space="preserve">con </w:t>
      </w:r>
      <w:r w:rsidR="000C0416" w:rsidRPr="00EE25D1">
        <w:rPr>
          <w:rFonts w:ascii="Calibri" w:hAnsi="Calibri"/>
        </w:rPr>
        <w:t>los artículos</w:t>
      </w:r>
      <w:r w:rsidR="00C71F23" w:rsidRPr="00EE25D1">
        <w:rPr>
          <w:rFonts w:ascii="Calibri" w:hAnsi="Calibri"/>
        </w:rPr>
        <w:t xml:space="preserve"> 1387 y 1393.1º del Código Civil</w:t>
      </w:r>
      <w:r w:rsidRPr="00EE25D1">
        <w:rPr>
          <w:rFonts w:ascii="Calibri" w:hAnsi="Calibri"/>
        </w:rPr>
        <w:t xml:space="preserve">. Dichos preceptos, ubicados en el ámbito del régimen económico de la sociedad de gananciales, decían, antes de la reforma, </w:t>
      </w:r>
      <w:r w:rsidR="003A64DE" w:rsidRPr="00EE25D1">
        <w:rPr>
          <w:rFonts w:ascii="Calibri" w:hAnsi="Calibri"/>
        </w:rPr>
        <w:t>que la administración y disposición de los bienes de la socieda</w:t>
      </w:r>
      <w:r w:rsidR="006B7FB1" w:rsidRPr="00EE25D1">
        <w:rPr>
          <w:rFonts w:ascii="Calibri" w:hAnsi="Calibri"/>
        </w:rPr>
        <w:t>d de gananciales se transfería</w:t>
      </w:r>
      <w:r w:rsidR="003A64DE" w:rsidRPr="00EE25D1">
        <w:rPr>
          <w:rFonts w:ascii="Calibri" w:hAnsi="Calibri"/>
        </w:rPr>
        <w:t xml:space="preserve"> </w:t>
      </w:r>
      <w:r w:rsidR="003A64DE" w:rsidRPr="00EE25D1">
        <w:rPr>
          <w:rFonts w:ascii="Calibri" w:hAnsi="Calibri"/>
          <w:i/>
        </w:rPr>
        <w:t>ope legis</w:t>
      </w:r>
      <w:r w:rsidR="003A64DE" w:rsidRPr="00EE25D1">
        <w:rPr>
          <w:rFonts w:ascii="Calibri" w:hAnsi="Calibri"/>
        </w:rPr>
        <w:t xml:space="preserve"> al cónyuge que fuera tutor o represen</w:t>
      </w:r>
      <w:r w:rsidR="000C0416" w:rsidRPr="00EE25D1">
        <w:rPr>
          <w:rFonts w:ascii="Calibri" w:hAnsi="Calibri"/>
        </w:rPr>
        <w:t>tante legal de su consorte (</w:t>
      </w:r>
      <w:r w:rsidR="00545FB7" w:rsidRPr="00EE25D1">
        <w:rPr>
          <w:rFonts w:ascii="Calibri" w:hAnsi="Calibri"/>
        </w:rPr>
        <w:t>art.</w:t>
      </w:r>
      <w:r w:rsidR="003A64DE" w:rsidRPr="00EE25D1">
        <w:rPr>
          <w:rFonts w:ascii="Calibri" w:hAnsi="Calibri"/>
        </w:rPr>
        <w:t xml:space="preserve"> 1387 CC) y, a su vez, si uno de los cónyuges fuere judicialmente incapacitado, declarado pródigo, ausente o en quiebra o  concurso de acreedores, o condenado por abandono de familia</w:t>
      </w:r>
      <w:r w:rsidR="005A152B" w:rsidRPr="00EE25D1">
        <w:rPr>
          <w:rFonts w:ascii="Calibri" w:hAnsi="Calibri"/>
        </w:rPr>
        <w:t>,</w:t>
      </w:r>
      <w:r w:rsidR="003A64DE" w:rsidRPr="00EE25D1">
        <w:rPr>
          <w:rFonts w:ascii="Calibri" w:hAnsi="Calibri"/>
        </w:rPr>
        <w:t xml:space="preserve"> el otro podría pedir la disolución judicial de </w:t>
      </w:r>
      <w:r w:rsidR="000C0416" w:rsidRPr="00EE25D1">
        <w:rPr>
          <w:rFonts w:ascii="Calibri" w:hAnsi="Calibri"/>
        </w:rPr>
        <w:t>la sociedad de gananciales (</w:t>
      </w:r>
      <w:r w:rsidR="00545FB7" w:rsidRPr="00EE25D1">
        <w:rPr>
          <w:rFonts w:ascii="Calibri" w:hAnsi="Calibri"/>
        </w:rPr>
        <w:t>art.</w:t>
      </w:r>
      <w:r w:rsidR="003A64DE" w:rsidRPr="00EE25D1">
        <w:rPr>
          <w:rFonts w:ascii="Calibri" w:hAnsi="Calibri"/>
        </w:rPr>
        <w:t xml:space="preserve"> 1393.1º CC). Para la disolución judicial de la sociedad de gananciales no era necesario que el cónyuge solicitante hubiere sido designado tutor o curador de su consorte, bastaba que este se encontrare en algunos de los supuestos previstos en la dicción legal</w:t>
      </w:r>
      <w:r w:rsidR="00DB4161" w:rsidRPr="00EE25D1">
        <w:rPr>
          <w:rStyle w:val="Refdenotaalpie"/>
          <w:rFonts w:ascii="Calibri" w:hAnsi="Calibri"/>
        </w:rPr>
        <w:footnoteReference w:id="43"/>
      </w:r>
      <w:r w:rsidR="005A152B" w:rsidRPr="00EE25D1">
        <w:rPr>
          <w:rFonts w:ascii="Calibri" w:hAnsi="Calibri"/>
        </w:rPr>
        <w:t>.</w:t>
      </w:r>
      <w:r w:rsidR="003A64DE" w:rsidRPr="00EE25D1">
        <w:rPr>
          <w:rFonts w:ascii="Calibri" w:hAnsi="Calibri"/>
        </w:rPr>
        <w:t xml:space="preserve"> </w:t>
      </w:r>
    </w:p>
    <w:p w:rsidR="003A64DE" w:rsidRPr="00EE25D1" w:rsidRDefault="005A152B" w:rsidP="00D44BF1">
      <w:pPr>
        <w:tabs>
          <w:tab w:val="left" w:pos="8505"/>
        </w:tabs>
        <w:spacing w:before="100" w:beforeAutospacing="1" w:after="100" w:afterAutospacing="1"/>
        <w:rPr>
          <w:rFonts w:ascii="Calibri" w:hAnsi="Calibri"/>
        </w:rPr>
      </w:pPr>
      <w:r w:rsidRPr="00EE25D1">
        <w:rPr>
          <w:rFonts w:ascii="Calibri" w:hAnsi="Calibri"/>
        </w:rPr>
        <w:t xml:space="preserve">Ahora </w:t>
      </w:r>
      <w:r w:rsidR="000C0416" w:rsidRPr="00EE25D1">
        <w:rPr>
          <w:rFonts w:ascii="Calibri" w:hAnsi="Calibri"/>
        </w:rPr>
        <w:t>el artículo</w:t>
      </w:r>
      <w:r w:rsidR="00C71F23" w:rsidRPr="00EE25D1">
        <w:rPr>
          <w:rFonts w:ascii="Calibri" w:hAnsi="Calibri"/>
        </w:rPr>
        <w:t xml:space="preserve"> 1387 del Código Civil</w:t>
      </w:r>
      <w:r w:rsidR="003A64DE" w:rsidRPr="00EE25D1">
        <w:rPr>
          <w:rFonts w:ascii="Calibri" w:hAnsi="Calibri"/>
        </w:rPr>
        <w:t xml:space="preserve"> reza que </w:t>
      </w:r>
      <w:r w:rsidR="00713CC7" w:rsidRPr="00EE25D1">
        <w:rPr>
          <w:rFonts w:ascii="Calibri" w:hAnsi="Calibri"/>
        </w:rPr>
        <w:t>“</w:t>
      </w:r>
      <w:r w:rsidR="003A64DE" w:rsidRPr="00EE25D1">
        <w:rPr>
          <w:rFonts w:ascii="Calibri" w:hAnsi="Calibri"/>
        </w:rPr>
        <w:t>La administración y disposición de los bienes de la sociedad de gananciales</w:t>
      </w:r>
      <w:r w:rsidR="00642B84" w:rsidRPr="00EE25D1">
        <w:rPr>
          <w:rFonts w:ascii="Calibri" w:hAnsi="Calibri"/>
        </w:rPr>
        <w:t xml:space="preserve"> se transferirá por ministerio de la ley al cónyuge nombrado curador de su consorte con discapacidad, cuando le hayan sido atribuidas </w:t>
      </w:r>
      <w:r w:rsidR="00642B84" w:rsidRPr="00EE25D1">
        <w:rPr>
          <w:rFonts w:ascii="Calibri" w:hAnsi="Calibri"/>
          <w:i/>
        </w:rPr>
        <w:t>facultades de representación plena</w:t>
      </w:r>
      <w:r w:rsidR="00713CC7" w:rsidRPr="00EE25D1">
        <w:rPr>
          <w:rFonts w:ascii="Calibri" w:hAnsi="Calibri"/>
        </w:rPr>
        <w:t>”</w:t>
      </w:r>
      <w:r w:rsidR="000C0416" w:rsidRPr="00EE25D1">
        <w:rPr>
          <w:rFonts w:ascii="Calibri" w:hAnsi="Calibri"/>
        </w:rPr>
        <w:t>, y el artículo</w:t>
      </w:r>
      <w:r w:rsidR="00642B84" w:rsidRPr="00EE25D1">
        <w:rPr>
          <w:rFonts w:ascii="Calibri" w:hAnsi="Calibri"/>
        </w:rPr>
        <w:t xml:space="preserve"> 1393.1º dispone que la sociedad de gananciales se disolverá por decisión judicial, entre otros casos, </w:t>
      </w:r>
      <w:r w:rsidR="00713CC7" w:rsidRPr="00EE25D1">
        <w:rPr>
          <w:rFonts w:ascii="Calibri" w:hAnsi="Calibri"/>
        </w:rPr>
        <w:t>“</w:t>
      </w:r>
      <w:r w:rsidR="00642B84" w:rsidRPr="00EE25D1">
        <w:rPr>
          <w:rFonts w:ascii="Calibri" w:hAnsi="Calibri"/>
        </w:rPr>
        <w:t xml:space="preserve">Si respecto del otro cónyuge </w:t>
      </w:r>
      <w:r w:rsidR="00642B84" w:rsidRPr="00EE25D1">
        <w:rPr>
          <w:rFonts w:ascii="Calibri" w:hAnsi="Calibri"/>
          <w:i/>
        </w:rPr>
        <w:t>se hubieren dispuesto judicialmente medidas de apoyo que impliquen facultades de representación plena</w:t>
      </w:r>
      <w:r w:rsidR="00642B84" w:rsidRPr="00EE25D1">
        <w:rPr>
          <w:rFonts w:ascii="Calibri" w:hAnsi="Calibri"/>
        </w:rPr>
        <w:t xml:space="preserve"> en la esfera patrimonial, si hubiere sido declarado ausente o en concurso , o condenado por abandono de familia</w:t>
      </w:r>
      <w:r w:rsidR="00713CC7" w:rsidRPr="00EE25D1">
        <w:rPr>
          <w:rFonts w:ascii="Calibri" w:hAnsi="Calibri"/>
        </w:rPr>
        <w:t>”</w:t>
      </w:r>
      <w:r w:rsidR="00642B84" w:rsidRPr="00EE25D1">
        <w:rPr>
          <w:rFonts w:ascii="Calibri" w:hAnsi="Calibri"/>
        </w:rPr>
        <w:t>.</w:t>
      </w:r>
    </w:p>
    <w:p w:rsidR="003767E4" w:rsidRPr="00EE25D1" w:rsidRDefault="003A64DE"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La inteligencia de</w:t>
      </w:r>
      <w:r w:rsidR="00642B84" w:rsidRPr="00EE25D1">
        <w:rPr>
          <w:rFonts w:ascii="Calibri" w:hAnsi="Calibri"/>
          <w:color w:val="000000" w:themeColor="text1"/>
          <w:shd w:val="clear" w:color="auto" w:fill="FFFFFF"/>
        </w:rPr>
        <w:t xml:space="preserve"> los preceptos</w:t>
      </w:r>
      <w:r w:rsidR="006B7FB1" w:rsidRPr="00EE25D1">
        <w:rPr>
          <w:rFonts w:ascii="Calibri" w:hAnsi="Calibri"/>
          <w:color w:val="000000" w:themeColor="text1"/>
          <w:shd w:val="clear" w:color="auto" w:fill="FFFFFF"/>
        </w:rPr>
        <w:t xml:space="preserve">, que </w:t>
      </w:r>
      <w:r w:rsidR="00C51F4B" w:rsidRPr="00EE25D1">
        <w:rPr>
          <w:rFonts w:ascii="Calibri" w:hAnsi="Calibri"/>
          <w:color w:val="000000" w:themeColor="text1"/>
          <w:shd w:val="clear" w:color="auto" w:fill="FFFFFF"/>
        </w:rPr>
        <w:t xml:space="preserve">trataremos al alimón, </w:t>
      </w:r>
      <w:r w:rsidR="00642B84" w:rsidRPr="00EE25D1">
        <w:rPr>
          <w:rFonts w:ascii="Calibri" w:hAnsi="Calibri"/>
          <w:color w:val="000000" w:themeColor="text1"/>
          <w:shd w:val="clear" w:color="auto" w:fill="FFFFFF"/>
        </w:rPr>
        <w:t>resulta complicada, como veremos a continuación</w:t>
      </w:r>
      <w:r w:rsidR="00C51F4B" w:rsidRPr="00EE25D1">
        <w:rPr>
          <w:rFonts w:ascii="Calibri" w:hAnsi="Calibri"/>
          <w:color w:val="000000" w:themeColor="text1"/>
          <w:shd w:val="clear" w:color="auto" w:fill="FFFFFF"/>
        </w:rPr>
        <w:t>.</w:t>
      </w:r>
    </w:p>
    <w:p w:rsidR="008A6E3B" w:rsidRPr="00EE25D1" w:rsidRDefault="00A91C27" w:rsidP="00D44BF1">
      <w:pPr>
        <w:tabs>
          <w:tab w:val="left" w:pos="8505"/>
        </w:tabs>
        <w:spacing w:before="100" w:beforeAutospacing="1" w:after="100" w:afterAutospacing="1"/>
        <w:rPr>
          <w:rFonts w:ascii="Calibri" w:hAnsi="Calibri"/>
          <w:b/>
          <w:i/>
          <w:color w:val="000000" w:themeColor="text1"/>
          <w:shd w:val="clear" w:color="auto" w:fill="FFFFFF"/>
        </w:rPr>
      </w:pPr>
      <w:r w:rsidRPr="00EE25D1">
        <w:rPr>
          <w:rFonts w:ascii="Calibri" w:hAnsi="Calibri"/>
          <w:b/>
          <w:i/>
          <w:color w:val="000000" w:themeColor="text1"/>
          <w:shd w:val="clear" w:color="auto" w:fill="FFFFFF"/>
        </w:rPr>
        <w:t>4.</w:t>
      </w:r>
      <w:r w:rsidR="008A6E3B" w:rsidRPr="00EE25D1">
        <w:rPr>
          <w:rFonts w:ascii="Calibri" w:hAnsi="Calibri"/>
          <w:b/>
          <w:i/>
          <w:color w:val="000000" w:themeColor="text1"/>
          <w:shd w:val="clear" w:color="auto" w:fill="FFFFFF"/>
        </w:rPr>
        <w:t>1</w:t>
      </w:r>
      <w:r w:rsidR="0047075F" w:rsidRPr="00EE25D1">
        <w:rPr>
          <w:rFonts w:ascii="Calibri" w:hAnsi="Calibri"/>
          <w:b/>
          <w:i/>
          <w:color w:val="000000" w:themeColor="text1"/>
          <w:shd w:val="clear" w:color="auto" w:fill="FFFFFF"/>
        </w:rPr>
        <w:t xml:space="preserve">. ¿Qué significa </w:t>
      </w:r>
      <w:r w:rsidR="008A6E3B" w:rsidRPr="00EE25D1">
        <w:rPr>
          <w:rFonts w:ascii="Calibri" w:hAnsi="Calibri"/>
          <w:b/>
          <w:i/>
          <w:color w:val="000000" w:themeColor="text1"/>
          <w:shd w:val="clear" w:color="auto" w:fill="FFFFFF"/>
        </w:rPr>
        <w:t>facultades de representación plena</w:t>
      </w:r>
      <w:r w:rsidR="0047075F" w:rsidRPr="00EE25D1">
        <w:rPr>
          <w:rFonts w:ascii="Calibri" w:hAnsi="Calibri"/>
          <w:b/>
          <w:i/>
          <w:color w:val="000000" w:themeColor="text1"/>
          <w:shd w:val="clear" w:color="auto" w:fill="FFFFFF"/>
        </w:rPr>
        <w:t>?</w:t>
      </w:r>
    </w:p>
    <w:p w:rsidR="00BD52A9" w:rsidRPr="00EE25D1" w:rsidRDefault="008A6E3B"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El apartado III de la Exposición de Motivos de la LAPCD, previa descripción del término apoyo remitiéndose a las consideraciones de la</w:t>
      </w:r>
      <w:r w:rsidR="005A152B" w:rsidRPr="00EE25D1">
        <w:rPr>
          <w:rFonts w:ascii="Calibri" w:hAnsi="Calibri"/>
          <w:color w:val="000000" w:themeColor="text1"/>
          <w:shd w:val="clear" w:color="auto" w:fill="FFFFFF"/>
        </w:rPr>
        <w:t xml:space="preserve">s Observaciones del Comité sobre los Derechos de las Personas con Discapacidad, </w:t>
      </w:r>
      <w:r w:rsidRPr="00EE25D1">
        <w:rPr>
          <w:rFonts w:ascii="Calibri" w:hAnsi="Calibri"/>
          <w:color w:val="000000" w:themeColor="text1"/>
          <w:shd w:val="clear" w:color="auto" w:fill="FFFFFF"/>
        </w:rPr>
        <w:t xml:space="preserve">reconoce que habrá situaciones en las que el apoyo solo pueda concretarse mediante la representación en la toma de decisiones. En el mismo apartado el legislador revela, respecto a la curatela, que esta se configura como una medida de apoyo de origen judicial cuya finalidad es la asistencia, el apoyo y la ayuda en el ejercicio de la capacidad jurídica, pudiendo atribuirse al curador, excepcionalmente, funciones representativas. Sumergiéndonos </w:t>
      </w:r>
      <w:r w:rsidR="000C0416" w:rsidRPr="00EE25D1">
        <w:rPr>
          <w:rFonts w:ascii="Calibri" w:hAnsi="Calibri"/>
          <w:color w:val="000000" w:themeColor="text1"/>
          <w:shd w:val="clear" w:color="auto" w:fill="FFFFFF"/>
        </w:rPr>
        <w:t xml:space="preserve">en el articulado,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249 </w:t>
      </w:r>
      <w:r w:rsidR="00C71F23" w:rsidRPr="00EE25D1">
        <w:rPr>
          <w:rFonts w:ascii="Calibri" w:hAnsi="Calibri"/>
        </w:rPr>
        <w:t>del Código Civil</w:t>
      </w:r>
      <w:r w:rsidRPr="00EE25D1">
        <w:rPr>
          <w:rFonts w:ascii="Calibri" w:hAnsi="Calibri"/>
          <w:color w:val="000000" w:themeColor="text1"/>
          <w:shd w:val="clear" w:color="auto" w:fill="FFFFFF"/>
        </w:rPr>
        <w:t xml:space="preserve"> prevé que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En casos excepcionales, cuando, pese a haberse hecho un esfuerzo considerable, no sea posible determinar la voluntad, deseos y preferencias de la persona, las medidas de apoyo podrían incluir funciones representativas</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debiendo tenerse en cuenta, a la hora de ejercer la representación, la t</w:t>
      </w:r>
      <w:r w:rsidR="00855B67" w:rsidRPr="00EE25D1">
        <w:rPr>
          <w:rFonts w:ascii="Calibri" w:hAnsi="Calibri"/>
          <w:color w:val="000000" w:themeColor="text1"/>
          <w:shd w:val="clear" w:color="auto" w:fill="FFFFFF"/>
        </w:rPr>
        <w:t xml:space="preserve">rayectoria vital de la persona </w:t>
      </w:r>
      <w:r w:rsidRPr="00EE25D1">
        <w:rPr>
          <w:rFonts w:ascii="Calibri" w:hAnsi="Calibri"/>
          <w:color w:val="000000" w:themeColor="text1"/>
          <w:shd w:val="clear" w:color="auto" w:fill="FFFFFF"/>
        </w:rPr>
        <w:t>con discapacidad, con el noble fin de</w:t>
      </w:r>
      <w:r w:rsidR="00BD52A9" w:rsidRPr="00EE25D1">
        <w:rPr>
          <w:rFonts w:ascii="Calibri" w:hAnsi="Calibri"/>
          <w:color w:val="000000" w:themeColor="text1"/>
          <w:shd w:val="clear" w:color="auto" w:fill="FFFFFF"/>
        </w:rPr>
        <w:t xml:space="preserve"> integrar su voluntad y no sustituirla. En </w:t>
      </w:r>
      <w:r w:rsidR="00C71F23" w:rsidRPr="00EE25D1">
        <w:rPr>
          <w:rFonts w:ascii="Calibri" w:hAnsi="Calibri"/>
          <w:color w:val="000000" w:themeColor="text1"/>
          <w:shd w:val="clear" w:color="auto" w:fill="FFFFFF"/>
        </w:rPr>
        <w:t>sede d</w:t>
      </w:r>
      <w:r w:rsidR="000C0416" w:rsidRPr="00EE25D1">
        <w:rPr>
          <w:rFonts w:ascii="Calibri" w:hAnsi="Calibri"/>
          <w:color w:val="000000" w:themeColor="text1"/>
          <w:shd w:val="clear" w:color="auto" w:fill="FFFFFF"/>
        </w:rPr>
        <w:t xml:space="preserve">e curatela,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269</w:t>
      </w:r>
      <w:r w:rsidR="00BD52A9" w:rsidRPr="00EE25D1">
        <w:rPr>
          <w:rFonts w:ascii="Calibri" w:hAnsi="Calibri"/>
          <w:color w:val="000000" w:themeColor="text1"/>
          <w:shd w:val="clear" w:color="auto" w:fill="FFFFFF"/>
        </w:rPr>
        <w:t xml:space="preserve"> dispone que la curatela representativa será excepcional debiendo determinar la resolución judicial que la constituya, motivadamente, </w:t>
      </w:r>
      <w:r w:rsidR="00713CC7" w:rsidRPr="00EE25D1">
        <w:rPr>
          <w:rFonts w:ascii="Calibri" w:hAnsi="Calibri"/>
          <w:color w:val="000000" w:themeColor="text1"/>
          <w:shd w:val="clear" w:color="auto" w:fill="FFFFFF"/>
        </w:rPr>
        <w:t>“</w:t>
      </w:r>
      <w:r w:rsidR="00BD52A9" w:rsidRPr="00EE25D1">
        <w:rPr>
          <w:rFonts w:ascii="Calibri" w:hAnsi="Calibri"/>
          <w:color w:val="000000" w:themeColor="text1"/>
          <w:shd w:val="clear" w:color="auto" w:fill="FFFFFF"/>
        </w:rPr>
        <w:t xml:space="preserve">los </w:t>
      </w:r>
      <w:r w:rsidR="00BD52A9" w:rsidRPr="00EE25D1">
        <w:rPr>
          <w:rFonts w:ascii="Calibri" w:hAnsi="Calibri"/>
          <w:i/>
          <w:color w:val="000000" w:themeColor="text1"/>
          <w:shd w:val="clear" w:color="auto" w:fill="FFFFFF"/>
        </w:rPr>
        <w:t>actos concretos</w:t>
      </w:r>
      <w:r w:rsidR="00BD52A9" w:rsidRPr="00EE25D1">
        <w:rPr>
          <w:rFonts w:ascii="Calibri" w:hAnsi="Calibri"/>
          <w:color w:val="000000" w:themeColor="text1"/>
          <w:shd w:val="clear" w:color="auto" w:fill="FFFFFF"/>
        </w:rPr>
        <w:t xml:space="preserve"> en los que el curador habrá de asumir la representación de la persona con discapacidad</w:t>
      </w:r>
      <w:r w:rsidR="00713CC7" w:rsidRPr="00EE25D1">
        <w:rPr>
          <w:rFonts w:ascii="Calibri" w:hAnsi="Calibri"/>
          <w:color w:val="000000" w:themeColor="text1"/>
          <w:shd w:val="clear" w:color="auto" w:fill="FFFFFF"/>
        </w:rPr>
        <w:t>”</w:t>
      </w:r>
      <w:r w:rsidR="000C0416" w:rsidRPr="00EE25D1">
        <w:rPr>
          <w:rFonts w:ascii="Calibri" w:hAnsi="Calibri"/>
          <w:color w:val="000000" w:themeColor="text1"/>
          <w:shd w:val="clear" w:color="auto" w:fill="FFFFFF"/>
        </w:rPr>
        <w:t xml:space="preserve">. De la lectura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269 </w:t>
      </w:r>
      <w:r w:rsidR="00BD52A9" w:rsidRPr="00EE25D1">
        <w:rPr>
          <w:rFonts w:ascii="Calibri" w:hAnsi="Calibri"/>
          <w:color w:val="000000" w:themeColor="text1"/>
          <w:shd w:val="clear" w:color="auto" w:fill="FFFFFF"/>
        </w:rPr>
        <w:t xml:space="preserve">se infiere, </w:t>
      </w:r>
      <w:r w:rsidR="00BD52A9" w:rsidRPr="00EE25D1">
        <w:rPr>
          <w:rFonts w:ascii="Calibri" w:hAnsi="Calibri"/>
          <w:i/>
          <w:color w:val="000000" w:themeColor="text1"/>
          <w:shd w:val="clear" w:color="auto" w:fill="FFFFFF"/>
        </w:rPr>
        <w:t>prima facie</w:t>
      </w:r>
      <w:r w:rsidR="00BD52A9" w:rsidRPr="00EE25D1">
        <w:rPr>
          <w:rFonts w:ascii="Calibri" w:hAnsi="Calibri"/>
          <w:color w:val="000000" w:themeColor="text1"/>
          <w:shd w:val="clear" w:color="auto" w:fill="FFFFFF"/>
        </w:rPr>
        <w:t>, que la curatela representativa no podría con</w:t>
      </w:r>
      <w:r w:rsidR="005A152B" w:rsidRPr="00EE25D1">
        <w:rPr>
          <w:rFonts w:ascii="Calibri" w:hAnsi="Calibri"/>
          <w:color w:val="000000" w:themeColor="text1"/>
          <w:shd w:val="clear" w:color="auto" w:fill="FFFFFF"/>
        </w:rPr>
        <w:t>stituirse</w:t>
      </w:r>
      <w:r w:rsidR="00BD52A9" w:rsidRPr="00EE25D1">
        <w:rPr>
          <w:rFonts w:ascii="Calibri" w:hAnsi="Calibri"/>
          <w:color w:val="000000" w:themeColor="text1"/>
          <w:shd w:val="clear" w:color="auto" w:fill="FFFFFF"/>
        </w:rPr>
        <w:t xml:space="preserve"> </w:t>
      </w:r>
      <w:r w:rsidR="00BD52A9" w:rsidRPr="00EE25D1">
        <w:rPr>
          <w:rFonts w:ascii="Calibri" w:hAnsi="Calibri"/>
          <w:i/>
          <w:color w:val="000000" w:themeColor="text1"/>
          <w:shd w:val="clear" w:color="auto" w:fill="FFFFFF"/>
        </w:rPr>
        <w:t>in genere</w:t>
      </w:r>
      <w:r w:rsidR="00BD52A9" w:rsidRPr="00EE25D1">
        <w:rPr>
          <w:rFonts w:ascii="Calibri" w:hAnsi="Calibri"/>
          <w:color w:val="000000" w:themeColor="text1"/>
          <w:shd w:val="clear" w:color="auto" w:fill="FFFFFF"/>
        </w:rPr>
        <w:t>, sino que deberá precisarse, de manera concreta, los actos a los que se extenderá la representación.</w:t>
      </w:r>
      <w:r w:rsidR="005A152B" w:rsidRPr="00EE25D1">
        <w:rPr>
          <w:rFonts w:ascii="Calibri" w:hAnsi="Calibri"/>
          <w:color w:val="000000" w:themeColor="text1"/>
          <w:shd w:val="clear" w:color="auto" w:fill="FFFFFF"/>
        </w:rPr>
        <w:t xml:space="preserve"> </w:t>
      </w:r>
    </w:p>
    <w:p w:rsidR="001B61B8" w:rsidRPr="00EE25D1" w:rsidRDefault="001B61B8"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El nudo gordian</w:t>
      </w:r>
      <w:r w:rsidR="000C0416" w:rsidRPr="00EE25D1">
        <w:rPr>
          <w:rFonts w:ascii="Calibri" w:hAnsi="Calibri"/>
          <w:color w:val="000000" w:themeColor="text1"/>
          <w:shd w:val="clear" w:color="auto" w:fill="FFFFFF"/>
        </w:rPr>
        <w:t xml:space="preserve">o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269 </w:t>
      </w:r>
      <w:r w:rsidR="00C71F23" w:rsidRPr="00EE25D1">
        <w:rPr>
          <w:rFonts w:ascii="Calibri" w:hAnsi="Calibri"/>
        </w:rPr>
        <w:t>del Código Civil</w:t>
      </w:r>
      <w:r w:rsidR="005F0FE6" w:rsidRPr="00EE25D1">
        <w:rPr>
          <w:rFonts w:ascii="Calibri" w:hAnsi="Calibri"/>
          <w:color w:val="000000" w:themeColor="text1"/>
          <w:shd w:val="clear" w:color="auto" w:fill="FFFFFF"/>
        </w:rPr>
        <w:t xml:space="preserve">, sin embargo, </w:t>
      </w:r>
      <w:r w:rsidRPr="00EE25D1">
        <w:rPr>
          <w:rFonts w:ascii="Calibri" w:hAnsi="Calibri"/>
          <w:color w:val="000000" w:themeColor="text1"/>
          <w:shd w:val="clear" w:color="auto" w:fill="FFFFFF"/>
        </w:rPr>
        <w:t>es si el Juez, a la hora de constituir una curatela con facultades de representación, deberá determinar, de manera concreta y detallada, los actos a los que se extiende la representación, o bien podrá atribuir al curador funciones representativas en el ámbito perso</w:t>
      </w:r>
      <w:r w:rsidR="008E7D26" w:rsidRPr="00EE25D1">
        <w:rPr>
          <w:rFonts w:ascii="Calibri" w:hAnsi="Calibri"/>
          <w:color w:val="000000" w:themeColor="text1"/>
          <w:shd w:val="clear" w:color="auto" w:fill="FFFFFF"/>
        </w:rPr>
        <w:t>nal y patrimonial de la persona</w:t>
      </w:r>
      <w:r w:rsidRPr="00EE25D1">
        <w:rPr>
          <w:rFonts w:ascii="Calibri" w:hAnsi="Calibri"/>
          <w:color w:val="000000" w:themeColor="text1"/>
          <w:shd w:val="clear" w:color="auto" w:fill="FFFFFF"/>
        </w:rPr>
        <w:t xml:space="preserve"> con discapacidad, exceptuando, como no podía ser de otro modo, los act</w:t>
      </w:r>
      <w:r w:rsidR="000C0416" w:rsidRPr="00EE25D1">
        <w:rPr>
          <w:rFonts w:ascii="Calibri" w:hAnsi="Calibri"/>
          <w:color w:val="000000" w:themeColor="text1"/>
          <w:shd w:val="clear" w:color="auto" w:fill="FFFFFF"/>
        </w:rPr>
        <w:t xml:space="preserve">os previstos en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287.</w:t>
      </w:r>
    </w:p>
    <w:p w:rsidR="001B61B8" w:rsidRPr="00EE25D1" w:rsidRDefault="001B61B8" w:rsidP="00D44BF1">
      <w:pPr>
        <w:tabs>
          <w:tab w:val="left" w:pos="8505"/>
        </w:tabs>
        <w:spacing w:before="100" w:beforeAutospacing="1" w:after="100" w:afterAutospacing="1"/>
        <w:rPr>
          <w:rFonts w:ascii="Calibri" w:hAnsi="Calibri"/>
        </w:rPr>
      </w:pPr>
      <w:r w:rsidRPr="00EE25D1">
        <w:rPr>
          <w:rFonts w:ascii="Calibri" w:hAnsi="Calibri"/>
          <w:color w:val="000000" w:themeColor="text1"/>
          <w:shd w:val="clear" w:color="auto" w:fill="FFFFFF"/>
        </w:rPr>
        <w:t xml:space="preserve">La cuestión no es baladí, pues, en la empresa de descifrar la expresión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facultades de representación plena</w:t>
      </w:r>
      <w:r w:rsidR="00713CC7" w:rsidRPr="00EE25D1">
        <w:rPr>
          <w:rFonts w:ascii="Calibri" w:hAnsi="Calibri"/>
          <w:color w:val="000000" w:themeColor="text1"/>
          <w:shd w:val="clear" w:color="auto" w:fill="FFFFFF"/>
        </w:rPr>
        <w:t>”</w:t>
      </w:r>
      <w:r w:rsidR="00855B67" w:rsidRPr="00EE25D1">
        <w:rPr>
          <w:rFonts w:ascii="Calibri" w:hAnsi="Calibri"/>
          <w:color w:val="000000" w:themeColor="text1"/>
          <w:shd w:val="clear" w:color="auto" w:fill="FFFFFF"/>
        </w:rPr>
        <w:t xml:space="preserve"> invernada en los</w:t>
      </w:r>
      <w:r w:rsidR="005051BC" w:rsidRPr="00EE25D1">
        <w:rPr>
          <w:rFonts w:ascii="Calibri" w:hAnsi="Calibri"/>
          <w:color w:val="000000" w:themeColor="text1"/>
          <w:shd w:val="clear" w:color="auto" w:fill="FFFFFF"/>
        </w:rPr>
        <w:t xml:space="preserve"> artículos</w:t>
      </w:r>
      <w:r w:rsidR="00C71F23" w:rsidRPr="00EE25D1">
        <w:rPr>
          <w:rFonts w:ascii="Calibri" w:hAnsi="Calibri"/>
          <w:color w:val="000000" w:themeColor="text1"/>
          <w:shd w:val="clear" w:color="auto" w:fill="FFFFFF"/>
        </w:rPr>
        <w:t xml:space="preserve"> 1387 y 1393.1º </w:t>
      </w:r>
      <w:r w:rsidR="00C71F23" w:rsidRPr="00EE25D1">
        <w:rPr>
          <w:rFonts w:ascii="Calibri" w:hAnsi="Calibri"/>
        </w:rPr>
        <w:t>del Código Civil</w:t>
      </w:r>
      <w:r w:rsidRPr="00EE25D1">
        <w:rPr>
          <w:rFonts w:ascii="Calibri" w:hAnsi="Calibri"/>
          <w:color w:val="000000" w:themeColor="text1"/>
          <w:shd w:val="clear" w:color="auto" w:fill="FFFFFF"/>
        </w:rPr>
        <w:t>, cab</w:t>
      </w:r>
      <w:r w:rsidR="005F0FE6" w:rsidRPr="00EE25D1">
        <w:rPr>
          <w:rFonts w:ascii="Calibri" w:hAnsi="Calibri"/>
          <w:color w:val="000000" w:themeColor="text1"/>
          <w:shd w:val="clear" w:color="auto" w:fill="FFFFFF"/>
        </w:rPr>
        <w:t>ría</w:t>
      </w:r>
      <w:r w:rsidR="009903DE" w:rsidRPr="00EE25D1">
        <w:rPr>
          <w:rFonts w:ascii="Calibri" w:hAnsi="Calibri"/>
          <w:color w:val="000000" w:themeColor="text1"/>
          <w:shd w:val="clear" w:color="auto" w:fill="FFFFFF"/>
        </w:rPr>
        <w:t xml:space="preserve"> dos opciones: o</w:t>
      </w:r>
      <w:r w:rsidRPr="00EE25D1">
        <w:rPr>
          <w:rFonts w:ascii="Calibri" w:hAnsi="Calibri"/>
          <w:color w:val="000000" w:themeColor="text1"/>
          <w:shd w:val="clear" w:color="auto" w:fill="FFFFFF"/>
        </w:rPr>
        <w:t>ra que se identifique con la extensión</w:t>
      </w:r>
      <w:r w:rsidR="005F0FE6" w:rsidRPr="00EE25D1">
        <w:rPr>
          <w:rFonts w:ascii="Calibri" w:hAnsi="Calibri"/>
          <w:color w:val="000000" w:themeColor="text1"/>
          <w:shd w:val="clear" w:color="auto" w:fill="FFFFFF"/>
        </w:rPr>
        <w:t xml:space="preserve"> de la representación, ora que se relacione</w:t>
      </w:r>
      <w:r w:rsidRPr="00EE25D1">
        <w:rPr>
          <w:rFonts w:ascii="Calibri" w:hAnsi="Calibri"/>
          <w:color w:val="000000" w:themeColor="text1"/>
          <w:shd w:val="clear" w:color="auto" w:fill="FFFFFF"/>
        </w:rPr>
        <w:t xml:space="preserve"> con su intensidad</w:t>
      </w:r>
      <w:r w:rsidR="0047075F" w:rsidRPr="00EE25D1">
        <w:rPr>
          <w:rFonts w:ascii="Calibri" w:hAnsi="Calibri"/>
          <w:color w:val="000000" w:themeColor="text1"/>
          <w:shd w:val="clear" w:color="auto" w:fill="FFFFFF"/>
        </w:rPr>
        <w:t xml:space="preserve">. </w:t>
      </w:r>
      <w:r w:rsidR="0004058B" w:rsidRPr="00EE25D1">
        <w:rPr>
          <w:rFonts w:ascii="Calibri" w:hAnsi="Calibri"/>
        </w:rPr>
        <w:t xml:space="preserve">La RAE no resuelve la incógnita, pues la primera acepción del término </w:t>
      </w:r>
      <w:r w:rsidR="0004058B" w:rsidRPr="00EE25D1">
        <w:rPr>
          <w:rFonts w:ascii="Calibri" w:hAnsi="Calibri"/>
          <w:i/>
        </w:rPr>
        <w:t>pleno</w:t>
      </w:r>
      <w:r w:rsidR="0004058B" w:rsidRPr="00EE25D1">
        <w:rPr>
          <w:rFonts w:ascii="Calibri" w:hAnsi="Calibri"/>
        </w:rPr>
        <w:t xml:space="preserve"> dice </w:t>
      </w:r>
      <w:r w:rsidR="00713CC7" w:rsidRPr="00EE25D1">
        <w:rPr>
          <w:rFonts w:ascii="Calibri" w:hAnsi="Calibri"/>
        </w:rPr>
        <w:t>“</w:t>
      </w:r>
      <w:r w:rsidR="0004058B" w:rsidRPr="00EE25D1">
        <w:rPr>
          <w:rFonts w:ascii="Calibri" w:hAnsi="Calibri"/>
        </w:rPr>
        <w:t>complemento y lleno</w:t>
      </w:r>
      <w:r w:rsidR="00713CC7" w:rsidRPr="00EE25D1">
        <w:rPr>
          <w:rFonts w:ascii="Calibri" w:hAnsi="Calibri"/>
        </w:rPr>
        <w:t>”</w:t>
      </w:r>
      <w:r w:rsidR="0004058B" w:rsidRPr="00EE25D1">
        <w:rPr>
          <w:rFonts w:ascii="Calibri" w:hAnsi="Calibri"/>
        </w:rPr>
        <w:t xml:space="preserve"> (extensión), y la segunda relaciona el adjetivo con </w:t>
      </w:r>
      <w:r w:rsidR="00713CC7" w:rsidRPr="00EE25D1">
        <w:rPr>
          <w:rFonts w:ascii="Calibri" w:hAnsi="Calibri"/>
        </w:rPr>
        <w:t>“</w:t>
      </w:r>
      <w:r w:rsidR="0004058B" w:rsidRPr="00EE25D1">
        <w:rPr>
          <w:rFonts w:ascii="Calibri" w:hAnsi="Calibri"/>
        </w:rPr>
        <w:t>la parte central o más intensa de un tiempo, un lugar, un proceso</w:t>
      </w:r>
      <w:r w:rsidR="00713CC7" w:rsidRPr="00EE25D1">
        <w:rPr>
          <w:rFonts w:ascii="Calibri" w:hAnsi="Calibri"/>
        </w:rPr>
        <w:t>”</w:t>
      </w:r>
      <w:r w:rsidR="0004058B" w:rsidRPr="00EE25D1">
        <w:rPr>
          <w:rFonts w:ascii="Calibri" w:hAnsi="Calibri"/>
        </w:rPr>
        <w:t xml:space="preserve"> (intensidad).</w:t>
      </w:r>
    </w:p>
    <w:p w:rsidR="0047075F" w:rsidRPr="00EE25D1" w:rsidRDefault="00A91C27" w:rsidP="00D44BF1">
      <w:pPr>
        <w:tabs>
          <w:tab w:val="left" w:pos="8505"/>
        </w:tabs>
        <w:spacing w:before="100" w:beforeAutospacing="1" w:after="100" w:afterAutospacing="1"/>
        <w:rPr>
          <w:rFonts w:ascii="Calibri" w:hAnsi="Calibri"/>
          <w:b/>
          <w:color w:val="000000" w:themeColor="text1"/>
          <w:shd w:val="clear" w:color="auto" w:fill="FFFFFF"/>
        </w:rPr>
      </w:pPr>
      <w:r w:rsidRPr="00EE25D1">
        <w:rPr>
          <w:rFonts w:ascii="Calibri" w:hAnsi="Calibri"/>
          <w:b/>
          <w:color w:val="000000" w:themeColor="text1"/>
          <w:shd w:val="clear" w:color="auto" w:fill="FFFFFF"/>
        </w:rPr>
        <w:t>4.1.1.</w:t>
      </w:r>
      <w:r w:rsidR="0047075F" w:rsidRPr="00EE25D1">
        <w:rPr>
          <w:rFonts w:ascii="Calibri" w:hAnsi="Calibri"/>
          <w:b/>
          <w:color w:val="000000" w:themeColor="text1"/>
          <w:shd w:val="clear" w:color="auto" w:fill="FFFFFF"/>
        </w:rPr>
        <w:t xml:space="preserve"> </w:t>
      </w:r>
      <w:r w:rsidR="005F6F27" w:rsidRPr="00EE25D1">
        <w:rPr>
          <w:rFonts w:ascii="Calibri" w:hAnsi="Calibri"/>
          <w:b/>
          <w:color w:val="000000" w:themeColor="text1"/>
          <w:shd w:val="clear" w:color="auto" w:fill="FFFFFF"/>
        </w:rPr>
        <w:t>El apoyo representativo</w:t>
      </w:r>
      <w:r w:rsidR="0047075F" w:rsidRPr="00EE25D1">
        <w:rPr>
          <w:rFonts w:ascii="Calibri" w:hAnsi="Calibri"/>
          <w:b/>
          <w:color w:val="000000" w:themeColor="text1"/>
          <w:shd w:val="clear" w:color="auto" w:fill="FFFFFF"/>
        </w:rPr>
        <w:t xml:space="preserve"> en cuanto a su extensión</w:t>
      </w:r>
    </w:p>
    <w:p w:rsidR="00022A91" w:rsidRPr="00EE25D1" w:rsidRDefault="0004058B" w:rsidP="00D44BF1">
      <w:pPr>
        <w:tabs>
          <w:tab w:val="left" w:pos="8505"/>
        </w:tabs>
        <w:spacing w:before="100" w:beforeAutospacing="1" w:after="100" w:afterAutospacing="1"/>
        <w:rPr>
          <w:rFonts w:ascii="Calibri" w:hAnsi="Calibri"/>
        </w:rPr>
      </w:pPr>
      <w:r w:rsidRPr="00EE25D1">
        <w:rPr>
          <w:rFonts w:ascii="Calibri" w:hAnsi="Calibri"/>
        </w:rPr>
        <w:t>De acuerdo con su extensión, podemos diferenciar entre aquella</w:t>
      </w:r>
      <w:r w:rsidR="005F0FE6" w:rsidRPr="00EE25D1">
        <w:rPr>
          <w:rFonts w:ascii="Calibri" w:hAnsi="Calibri"/>
        </w:rPr>
        <w:t xml:space="preserve">s </w:t>
      </w:r>
      <w:r w:rsidR="005A152B" w:rsidRPr="00EE25D1">
        <w:rPr>
          <w:rFonts w:ascii="Calibri" w:hAnsi="Calibri"/>
        </w:rPr>
        <w:t>medidas de apoyo</w:t>
      </w:r>
      <w:r w:rsidR="009903DE" w:rsidRPr="00EE25D1">
        <w:rPr>
          <w:rFonts w:ascii="Calibri" w:hAnsi="Calibri"/>
        </w:rPr>
        <w:t xml:space="preserve"> con</w:t>
      </w:r>
      <w:r w:rsidR="005A152B" w:rsidRPr="00EE25D1">
        <w:rPr>
          <w:rFonts w:ascii="Calibri" w:hAnsi="Calibri"/>
        </w:rPr>
        <w:t xml:space="preserve"> facultades de representación</w:t>
      </w:r>
      <w:r w:rsidRPr="00EE25D1">
        <w:rPr>
          <w:rFonts w:ascii="Calibri" w:hAnsi="Calibri"/>
        </w:rPr>
        <w:t xml:space="preserve"> que concede el Juez a la persona que dispensa el apoyo para actos concretos y determinados</w:t>
      </w:r>
      <w:r w:rsidR="005F0FE6" w:rsidRPr="00EE25D1">
        <w:rPr>
          <w:rFonts w:ascii="Calibri" w:hAnsi="Calibri"/>
        </w:rPr>
        <w:t xml:space="preserve"> (representación concreta)</w:t>
      </w:r>
      <w:r w:rsidRPr="00EE25D1">
        <w:rPr>
          <w:rFonts w:ascii="Calibri" w:hAnsi="Calibri"/>
        </w:rPr>
        <w:t>, de aquella</w:t>
      </w:r>
      <w:r w:rsidR="005F0FE6" w:rsidRPr="00EE25D1">
        <w:rPr>
          <w:rFonts w:ascii="Calibri" w:hAnsi="Calibri"/>
        </w:rPr>
        <w:t>s</w:t>
      </w:r>
      <w:r w:rsidR="005A152B" w:rsidRPr="00EE25D1">
        <w:rPr>
          <w:rFonts w:ascii="Calibri" w:hAnsi="Calibri"/>
        </w:rPr>
        <w:t xml:space="preserve"> otras que afecta</w:t>
      </w:r>
      <w:r w:rsidR="00855B67" w:rsidRPr="00EE25D1">
        <w:rPr>
          <w:rFonts w:ascii="Calibri" w:hAnsi="Calibri"/>
        </w:rPr>
        <w:t>n</w:t>
      </w:r>
      <w:r w:rsidRPr="00EE25D1">
        <w:rPr>
          <w:rFonts w:ascii="Calibri" w:hAnsi="Calibri"/>
        </w:rPr>
        <w:t xml:space="preserve"> de modo general</w:t>
      </w:r>
      <w:r w:rsidR="004A326A" w:rsidRPr="00EE25D1">
        <w:rPr>
          <w:rStyle w:val="Refdenotaalpie"/>
          <w:rFonts w:ascii="Calibri" w:hAnsi="Calibri"/>
        </w:rPr>
        <w:footnoteReference w:id="44"/>
      </w:r>
      <w:r w:rsidR="005A152B" w:rsidRPr="00EE25D1">
        <w:rPr>
          <w:rFonts w:ascii="Calibri" w:hAnsi="Calibri"/>
        </w:rPr>
        <w:t xml:space="preserve"> </w:t>
      </w:r>
      <w:r w:rsidRPr="00EE25D1">
        <w:rPr>
          <w:rFonts w:ascii="Calibri" w:hAnsi="Calibri"/>
        </w:rPr>
        <w:t>a la esfera persona</w:t>
      </w:r>
      <w:r w:rsidR="005F0FE6" w:rsidRPr="00EE25D1">
        <w:rPr>
          <w:rFonts w:ascii="Calibri" w:hAnsi="Calibri"/>
        </w:rPr>
        <w:t>l</w:t>
      </w:r>
      <w:r w:rsidRPr="00EE25D1">
        <w:rPr>
          <w:rFonts w:ascii="Calibri" w:hAnsi="Calibri"/>
        </w:rPr>
        <w:t xml:space="preserve"> y patrimonial de la persona con discapacidad</w:t>
      </w:r>
      <w:r w:rsidR="005F0FE6" w:rsidRPr="00EE25D1">
        <w:rPr>
          <w:rFonts w:ascii="Calibri" w:hAnsi="Calibri"/>
        </w:rPr>
        <w:t xml:space="preserve"> (representación general)</w:t>
      </w:r>
      <w:r w:rsidRPr="00EE25D1">
        <w:rPr>
          <w:rFonts w:ascii="Calibri" w:hAnsi="Calibri"/>
        </w:rPr>
        <w:t xml:space="preserve">, con excepción de los negocios jurídicos existenciales </w:t>
      </w:r>
      <w:r w:rsidR="000C0416" w:rsidRPr="00EE25D1">
        <w:rPr>
          <w:rFonts w:ascii="Calibri" w:hAnsi="Calibri"/>
        </w:rPr>
        <w:t>y los actos previstos en el artículo</w:t>
      </w:r>
      <w:r w:rsidRPr="00EE25D1">
        <w:rPr>
          <w:rFonts w:ascii="Calibri" w:hAnsi="Calibri"/>
        </w:rPr>
        <w:t xml:space="preserve"> 287 </w:t>
      </w:r>
      <w:r w:rsidR="00C71F23" w:rsidRPr="00EE25D1">
        <w:rPr>
          <w:rFonts w:ascii="Calibri" w:hAnsi="Calibri"/>
        </w:rPr>
        <w:t>del Código Civil</w:t>
      </w:r>
      <w:r w:rsidR="00C71F23" w:rsidRPr="00EE25D1">
        <w:rPr>
          <w:rStyle w:val="Refdenotaalpie"/>
          <w:rFonts w:ascii="Calibri" w:hAnsi="Calibri"/>
        </w:rPr>
        <w:t xml:space="preserve"> </w:t>
      </w:r>
      <w:r w:rsidR="00865749" w:rsidRPr="00EE25D1">
        <w:rPr>
          <w:rStyle w:val="Refdenotaalpie"/>
          <w:rFonts w:ascii="Calibri" w:hAnsi="Calibri"/>
        </w:rPr>
        <w:footnoteReference w:id="45"/>
      </w:r>
      <w:r w:rsidRPr="00EE25D1">
        <w:rPr>
          <w:rFonts w:ascii="Calibri" w:hAnsi="Calibri"/>
        </w:rPr>
        <w:t xml:space="preserve">. </w:t>
      </w:r>
    </w:p>
    <w:p w:rsidR="0004058B" w:rsidRPr="00EE25D1" w:rsidRDefault="005F0FE6" w:rsidP="00D44BF1">
      <w:pPr>
        <w:tabs>
          <w:tab w:val="left" w:pos="8505"/>
        </w:tabs>
        <w:spacing w:before="100" w:beforeAutospacing="1" w:after="100" w:afterAutospacing="1"/>
        <w:rPr>
          <w:rFonts w:ascii="Calibri" w:hAnsi="Calibri"/>
        </w:rPr>
      </w:pPr>
      <w:r w:rsidRPr="00EE25D1">
        <w:rPr>
          <w:rFonts w:ascii="Calibri" w:hAnsi="Calibri"/>
        </w:rPr>
        <w:t xml:space="preserve">Un ejemplo paradigmático </w:t>
      </w:r>
      <w:r w:rsidR="00022A91" w:rsidRPr="00EE25D1">
        <w:rPr>
          <w:rFonts w:ascii="Calibri" w:hAnsi="Calibri"/>
        </w:rPr>
        <w:t>de</w:t>
      </w:r>
      <w:r w:rsidR="009903DE" w:rsidRPr="00EE25D1">
        <w:rPr>
          <w:rFonts w:ascii="Calibri" w:hAnsi="Calibri"/>
        </w:rPr>
        <w:t xml:space="preserve"> representación </w:t>
      </w:r>
      <w:r w:rsidR="00022A91" w:rsidRPr="00EE25D1">
        <w:rPr>
          <w:rFonts w:ascii="Calibri" w:hAnsi="Calibri"/>
        </w:rPr>
        <w:t>concreta</w:t>
      </w:r>
      <w:r w:rsidRPr="00EE25D1">
        <w:rPr>
          <w:rFonts w:ascii="Calibri" w:hAnsi="Calibri"/>
        </w:rPr>
        <w:t xml:space="preserve"> podemos ubicarlo en la SAP Valladolid 7 diciembre 2021</w:t>
      </w:r>
      <w:r w:rsidR="00355FA3" w:rsidRPr="00EE25D1">
        <w:rPr>
          <w:rFonts w:ascii="Calibri" w:hAnsi="Calibri"/>
        </w:rPr>
        <w:t xml:space="preserve"> (</w:t>
      </w:r>
      <w:r w:rsidR="00545FB7" w:rsidRPr="00EE25D1">
        <w:rPr>
          <w:rFonts w:ascii="Calibri" w:hAnsi="Calibri"/>
        </w:rPr>
        <w:t>JUR 2022, 95431</w:t>
      </w:r>
      <w:r w:rsidR="00355FA3" w:rsidRPr="00EE25D1">
        <w:rPr>
          <w:rFonts w:ascii="Calibri" w:hAnsi="Calibri"/>
        </w:rPr>
        <w:t>)</w:t>
      </w:r>
      <w:r w:rsidRPr="00EE25D1">
        <w:rPr>
          <w:rFonts w:ascii="Calibri" w:hAnsi="Calibri"/>
        </w:rPr>
        <w:t xml:space="preserve">, que estudió un supuesto de una persona que padecía un trastorno delirante de tipo persecutorio sin conciencia de la enfermedad ni tratamiento y que se proyectaba </w:t>
      </w:r>
      <w:r w:rsidR="00022A91" w:rsidRPr="00EE25D1">
        <w:rPr>
          <w:rFonts w:ascii="Calibri" w:hAnsi="Calibri"/>
        </w:rPr>
        <w:t>en el ámbito judicial, por la</w:t>
      </w:r>
      <w:r w:rsidR="00855B67" w:rsidRPr="00EE25D1">
        <w:rPr>
          <w:rFonts w:ascii="Calibri" w:hAnsi="Calibri"/>
        </w:rPr>
        <w:t>s</w:t>
      </w:r>
      <w:r w:rsidR="00022A91" w:rsidRPr="00EE25D1">
        <w:rPr>
          <w:rFonts w:ascii="Calibri" w:hAnsi="Calibri"/>
        </w:rPr>
        <w:t xml:space="preserve"> abundantes denuncias que presentaba el demandado a prof</w:t>
      </w:r>
      <w:r w:rsidR="005A152B" w:rsidRPr="00EE25D1">
        <w:rPr>
          <w:rFonts w:ascii="Calibri" w:hAnsi="Calibri"/>
        </w:rPr>
        <w:t>esionales del sistema judicial o a</w:t>
      </w:r>
      <w:r w:rsidR="00022A91" w:rsidRPr="00EE25D1">
        <w:rPr>
          <w:rFonts w:ascii="Calibri" w:hAnsi="Calibri"/>
        </w:rPr>
        <w:t xml:space="preserve"> políticos. La sentencia, valorando que el demandado se negaba a la ingesta de medicamentos por la inconsciencia de la enfermedad y </w:t>
      </w:r>
      <w:r w:rsidR="00FE121D" w:rsidRPr="00EE25D1">
        <w:rPr>
          <w:rFonts w:ascii="Calibri" w:hAnsi="Calibri"/>
        </w:rPr>
        <w:t xml:space="preserve">que </w:t>
      </w:r>
      <w:r w:rsidR="00022A91" w:rsidRPr="00EE25D1">
        <w:rPr>
          <w:rFonts w:ascii="Calibri" w:hAnsi="Calibri"/>
        </w:rPr>
        <w:t xml:space="preserve">el trastorno persecutorio se extrapolaba en </w:t>
      </w:r>
      <w:r w:rsidR="00FE121D" w:rsidRPr="00EE25D1">
        <w:rPr>
          <w:rFonts w:ascii="Calibri" w:hAnsi="Calibri"/>
        </w:rPr>
        <w:t xml:space="preserve">las denuncias que presentaba, </w:t>
      </w:r>
      <w:r w:rsidR="00022A91" w:rsidRPr="00EE25D1">
        <w:rPr>
          <w:rFonts w:ascii="Calibri" w:hAnsi="Calibri"/>
        </w:rPr>
        <w:t xml:space="preserve">estableció una curatela representativa que se concretaba en las actuaciones relativas a la salud del demandado (toma de medicamentos, pautas alimenticias y tratamiento </w:t>
      </w:r>
      <w:r w:rsidR="00713CC7" w:rsidRPr="00EE25D1">
        <w:rPr>
          <w:rFonts w:ascii="Calibri" w:hAnsi="Calibri"/>
        </w:rPr>
        <w:t>“</w:t>
      </w:r>
      <w:r w:rsidR="00022A91" w:rsidRPr="00EE25D1">
        <w:rPr>
          <w:rFonts w:ascii="Calibri" w:hAnsi="Calibri"/>
        </w:rPr>
        <w:t>que debe recibir voluntaria o involuntariamente</w:t>
      </w:r>
      <w:r w:rsidR="00713CC7" w:rsidRPr="00EE25D1">
        <w:rPr>
          <w:rFonts w:ascii="Calibri" w:hAnsi="Calibri"/>
        </w:rPr>
        <w:t>”</w:t>
      </w:r>
      <w:r w:rsidR="00022A91" w:rsidRPr="00EE25D1">
        <w:rPr>
          <w:rFonts w:ascii="Calibri" w:hAnsi="Calibri"/>
        </w:rPr>
        <w:t xml:space="preserve">), y aquellas a realizar en </w:t>
      </w:r>
      <w:r w:rsidR="00FE121D" w:rsidRPr="00EE25D1">
        <w:rPr>
          <w:rFonts w:ascii="Calibri" w:hAnsi="Calibri"/>
        </w:rPr>
        <w:t>el ámbito</w:t>
      </w:r>
      <w:r w:rsidR="00022A91" w:rsidRPr="00EE25D1">
        <w:rPr>
          <w:rFonts w:ascii="Calibri" w:hAnsi="Calibri"/>
        </w:rPr>
        <w:t xml:space="preserve"> administrativo y judicial (</w:t>
      </w:r>
      <w:r w:rsidR="00713CC7" w:rsidRPr="00EE25D1">
        <w:rPr>
          <w:rFonts w:ascii="Calibri" w:hAnsi="Calibri"/>
        </w:rPr>
        <w:t>“</w:t>
      </w:r>
      <w:r w:rsidR="00022A91" w:rsidRPr="00EE25D1">
        <w:rPr>
          <w:rFonts w:ascii="Calibri" w:hAnsi="Calibri"/>
        </w:rPr>
        <w:t>presentación de escritos, reclamaciones, quejas, denuncias, querellas o cualesquiera otros escrito de naturaleza similar</w:t>
      </w:r>
      <w:r w:rsidR="00713CC7" w:rsidRPr="00EE25D1">
        <w:rPr>
          <w:rFonts w:ascii="Calibri" w:hAnsi="Calibri"/>
        </w:rPr>
        <w:t>”</w:t>
      </w:r>
      <w:r w:rsidR="00022A91" w:rsidRPr="00EE25D1">
        <w:rPr>
          <w:rFonts w:ascii="Calibri" w:hAnsi="Calibri"/>
        </w:rPr>
        <w:t xml:space="preserve">). La curatela no se extendió al ámbito patrimonial, </w:t>
      </w:r>
      <w:r w:rsidR="00DD0132" w:rsidRPr="00EE25D1">
        <w:rPr>
          <w:rFonts w:ascii="Calibri" w:hAnsi="Calibri"/>
        </w:rPr>
        <w:t>dada cue</w:t>
      </w:r>
      <w:r w:rsidR="00966A49" w:rsidRPr="00EE25D1">
        <w:rPr>
          <w:rFonts w:ascii="Calibri" w:hAnsi="Calibri"/>
        </w:rPr>
        <w:t>nta</w:t>
      </w:r>
      <w:r w:rsidR="00022A91" w:rsidRPr="00EE25D1">
        <w:rPr>
          <w:rFonts w:ascii="Calibri" w:hAnsi="Calibri"/>
        </w:rPr>
        <w:t xml:space="preserve"> de que no existía ningún acervo probatorio de que el trastorno delirante afectaba a la gestión de su patrimonio. </w:t>
      </w:r>
    </w:p>
    <w:p w:rsidR="00022A91" w:rsidRPr="00EE25D1" w:rsidRDefault="00022A91" w:rsidP="00D44BF1">
      <w:pPr>
        <w:tabs>
          <w:tab w:val="left" w:pos="6521"/>
          <w:tab w:val="left" w:pos="8505"/>
        </w:tabs>
        <w:spacing w:before="100" w:beforeAutospacing="1" w:after="100" w:afterAutospacing="1"/>
        <w:rPr>
          <w:rFonts w:ascii="Calibri" w:hAnsi="Calibri"/>
        </w:rPr>
      </w:pPr>
      <w:r w:rsidRPr="00EE25D1">
        <w:rPr>
          <w:rFonts w:ascii="Calibri" w:hAnsi="Calibri"/>
        </w:rPr>
        <w:t xml:space="preserve">Respecto </w:t>
      </w:r>
      <w:r w:rsidR="005A152B" w:rsidRPr="00EE25D1">
        <w:rPr>
          <w:rFonts w:ascii="Calibri" w:hAnsi="Calibri"/>
        </w:rPr>
        <w:t>a la representación general, qui</w:t>
      </w:r>
      <w:r w:rsidRPr="00EE25D1">
        <w:rPr>
          <w:rFonts w:ascii="Calibri" w:hAnsi="Calibri"/>
        </w:rPr>
        <w:t>zás</w:t>
      </w:r>
      <w:r w:rsidR="00C71F23" w:rsidRPr="00EE25D1">
        <w:rPr>
          <w:rFonts w:ascii="Calibri" w:hAnsi="Calibri"/>
        </w:rPr>
        <w:t xml:space="preserve"> una lectura literal del 269 </w:t>
      </w:r>
      <w:r w:rsidR="00FE121D" w:rsidRPr="00EE25D1">
        <w:rPr>
          <w:rFonts w:ascii="Calibri" w:hAnsi="Calibri"/>
        </w:rPr>
        <w:t>podría conducir</w:t>
      </w:r>
      <w:r w:rsidRPr="00EE25D1">
        <w:rPr>
          <w:rFonts w:ascii="Calibri" w:hAnsi="Calibri"/>
        </w:rPr>
        <w:t xml:space="preserve"> a descartarla, </w:t>
      </w:r>
      <w:r w:rsidR="0047075F" w:rsidRPr="00EE25D1">
        <w:rPr>
          <w:rFonts w:ascii="Calibri" w:hAnsi="Calibri"/>
        </w:rPr>
        <w:t xml:space="preserve">toda vez que el legislador circunscribe la representación a </w:t>
      </w:r>
      <w:r w:rsidR="00713CC7" w:rsidRPr="00EE25D1">
        <w:rPr>
          <w:rFonts w:ascii="Calibri" w:hAnsi="Calibri"/>
        </w:rPr>
        <w:t>“</w:t>
      </w:r>
      <w:r w:rsidR="0047075F" w:rsidRPr="00EE25D1">
        <w:rPr>
          <w:rFonts w:ascii="Calibri" w:hAnsi="Calibri"/>
        </w:rPr>
        <w:t>actos concretos</w:t>
      </w:r>
      <w:r w:rsidR="00713CC7" w:rsidRPr="00EE25D1">
        <w:rPr>
          <w:rFonts w:ascii="Calibri" w:hAnsi="Calibri"/>
        </w:rPr>
        <w:t>”</w:t>
      </w:r>
      <w:r w:rsidR="001F2607" w:rsidRPr="00EE25D1">
        <w:rPr>
          <w:rStyle w:val="Refdenotaalpie"/>
          <w:rFonts w:ascii="Calibri" w:hAnsi="Calibri"/>
        </w:rPr>
        <w:footnoteReference w:id="46"/>
      </w:r>
      <w:r w:rsidR="0047075F" w:rsidRPr="00EE25D1">
        <w:rPr>
          <w:rFonts w:ascii="Calibri" w:hAnsi="Calibri"/>
        </w:rPr>
        <w:t>.</w:t>
      </w:r>
      <w:r w:rsidR="00055FE5" w:rsidRPr="00EE25D1">
        <w:rPr>
          <w:rFonts w:ascii="Calibri" w:hAnsi="Calibri"/>
        </w:rPr>
        <w:t xml:space="preserve"> </w:t>
      </w:r>
      <w:r w:rsidR="001F2607" w:rsidRPr="00EE25D1">
        <w:rPr>
          <w:rFonts w:ascii="Calibri" w:hAnsi="Calibri"/>
        </w:rPr>
        <w:t>A pesar de que LAPCD eliminó de la Exposición de Motivos la fórmula que contenía su homóloga en el Anteproyecto</w:t>
      </w:r>
      <w:r w:rsidR="0022463E" w:rsidRPr="00EE25D1">
        <w:rPr>
          <w:rFonts w:ascii="Calibri" w:hAnsi="Calibri"/>
        </w:rPr>
        <w:t xml:space="preserve"> de Ley por la que se re</w:t>
      </w:r>
      <w:r w:rsidR="00FE121D" w:rsidRPr="00EE25D1">
        <w:rPr>
          <w:rFonts w:ascii="Calibri" w:hAnsi="Calibri"/>
        </w:rPr>
        <w:t>a</w:t>
      </w:r>
      <w:r w:rsidR="0022463E" w:rsidRPr="00EE25D1">
        <w:rPr>
          <w:rFonts w:ascii="Calibri" w:hAnsi="Calibri"/>
        </w:rPr>
        <w:t>firma la legislación civil y procesal en materia de discapacidad que</w:t>
      </w:r>
      <w:r w:rsidR="001F2607" w:rsidRPr="00EE25D1">
        <w:rPr>
          <w:rFonts w:ascii="Calibri" w:hAnsi="Calibri"/>
        </w:rPr>
        <w:t xml:space="preserve"> avala</w:t>
      </w:r>
      <w:r w:rsidR="0022463E" w:rsidRPr="00EE25D1">
        <w:rPr>
          <w:rFonts w:ascii="Calibri" w:hAnsi="Calibri"/>
        </w:rPr>
        <w:t>ba la representación general</w:t>
      </w:r>
      <w:r w:rsidR="0022463E" w:rsidRPr="00EE25D1">
        <w:rPr>
          <w:rStyle w:val="Refdenotaalpie"/>
          <w:rFonts w:ascii="Calibri" w:hAnsi="Calibri"/>
        </w:rPr>
        <w:footnoteReference w:id="47"/>
      </w:r>
      <w:r w:rsidR="0022463E" w:rsidRPr="00EE25D1">
        <w:rPr>
          <w:rFonts w:ascii="Calibri" w:hAnsi="Calibri"/>
        </w:rPr>
        <w:t xml:space="preserve">, </w:t>
      </w:r>
      <w:r w:rsidR="001F2607" w:rsidRPr="00EE25D1">
        <w:rPr>
          <w:rFonts w:ascii="Calibri" w:hAnsi="Calibri"/>
        </w:rPr>
        <w:t>consideramos que n</w:t>
      </w:r>
      <w:r w:rsidR="00055FE5" w:rsidRPr="00EE25D1">
        <w:rPr>
          <w:rFonts w:ascii="Calibri" w:hAnsi="Calibri"/>
        </w:rPr>
        <w:t>egar la legitimidad de la representación general y ceñirla a actos concretos se alejaría del traje a medida</w:t>
      </w:r>
      <w:r w:rsidR="00C95DCD" w:rsidRPr="00EE25D1">
        <w:rPr>
          <w:rStyle w:val="Refdenotaalpie"/>
          <w:rFonts w:ascii="Calibri" w:hAnsi="Calibri"/>
        </w:rPr>
        <w:footnoteReference w:id="48"/>
      </w:r>
      <w:r w:rsidR="00055FE5" w:rsidRPr="00EE25D1">
        <w:rPr>
          <w:rFonts w:ascii="Calibri" w:hAnsi="Calibri"/>
        </w:rPr>
        <w:t xml:space="preserve"> que trata de dignificar la LAPCD, ya que hay casos extremos en los que la persona necesitada de apoyo, por carecer absolutamente de facultades cognitivas e intelectivas para formar una voluntad, debe ser representada en múltiples facetas de </w:t>
      </w:r>
      <w:r w:rsidR="00FE121D" w:rsidRPr="00EE25D1">
        <w:rPr>
          <w:rFonts w:ascii="Calibri" w:hAnsi="Calibri"/>
        </w:rPr>
        <w:t>la vida</w:t>
      </w:r>
      <w:r w:rsidR="00055FE5" w:rsidRPr="00EE25D1">
        <w:rPr>
          <w:rFonts w:ascii="Calibri" w:hAnsi="Calibri"/>
        </w:rPr>
        <w:t xml:space="preserve"> diaria, </w:t>
      </w:r>
      <w:r w:rsidR="004A326A" w:rsidRPr="00EE25D1">
        <w:rPr>
          <w:rFonts w:ascii="Calibri" w:hAnsi="Calibri"/>
        </w:rPr>
        <w:t xml:space="preserve">abarcando la representación desde </w:t>
      </w:r>
      <w:r w:rsidR="00055FE5" w:rsidRPr="00EE25D1">
        <w:rPr>
          <w:rFonts w:ascii="Calibri" w:hAnsi="Calibri"/>
        </w:rPr>
        <w:t xml:space="preserve">el plano personal o médico, como el tratamiento o la ingesta de la </w:t>
      </w:r>
      <w:r w:rsidR="00FE121D" w:rsidRPr="00EE25D1">
        <w:rPr>
          <w:rFonts w:ascii="Calibri" w:hAnsi="Calibri"/>
        </w:rPr>
        <w:t>medicación</w:t>
      </w:r>
      <w:r w:rsidR="00055FE5" w:rsidRPr="00EE25D1">
        <w:rPr>
          <w:rFonts w:ascii="Calibri" w:hAnsi="Calibri"/>
        </w:rPr>
        <w:t>, hasta el patrimonial</w:t>
      </w:r>
      <w:r w:rsidR="00055FE5" w:rsidRPr="00EE25D1">
        <w:rPr>
          <w:rStyle w:val="Refdenotaalpie"/>
          <w:rFonts w:ascii="Calibri" w:hAnsi="Calibri"/>
        </w:rPr>
        <w:footnoteReference w:id="49"/>
      </w:r>
      <w:r w:rsidR="00055FE5" w:rsidRPr="00EE25D1">
        <w:rPr>
          <w:rFonts w:ascii="Calibri" w:hAnsi="Calibri"/>
        </w:rPr>
        <w:t>. A pesar de que</w:t>
      </w:r>
      <w:r w:rsidR="00FE121D" w:rsidRPr="00EE25D1">
        <w:rPr>
          <w:rFonts w:ascii="Calibri" w:hAnsi="Calibri"/>
        </w:rPr>
        <w:t xml:space="preserve"> puede inferirse lo contrario</w:t>
      </w:r>
      <w:r w:rsidR="005051BC" w:rsidRPr="00EE25D1">
        <w:rPr>
          <w:rFonts w:ascii="Calibri" w:hAnsi="Calibri"/>
        </w:rPr>
        <w:t xml:space="preserve"> de los artículos</w:t>
      </w:r>
      <w:r w:rsidR="00C71F23" w:rsidRPr="00EE25D1">
        <w:rPr>
          <w:rFonts w:ascii="Calibri" w:hAnsi="Calibri"/>
        </w:rPr>
        <w:t xml:space="preserve"> 249 y 269</w:t>
      </w:r>
      <w:r w:rsidR="00055FE5" w:rsidRPr="00EE25D1">
        <w:rPr>
          <w:rFonts w:ascii="Calibri" w:hAnsi="Calibri"/>
        </w:rPr>
        <w:t xml:space="preserve">, García Rubio apuesta, en casos extremos, por la representación general. La autora arguye que la regla general es el apoyo en forma de asistencia y la excepción </w:t>
      </w:r>
      <w:r w:rsidR="00FE121D" w:rsidRPr="00EE25D1">
        <w:rPr>
          <w:rFonts w:ascii="Calibri" w:hAnsi="Calibri"/>
        </w:rPr>
        <w:t xml:space="preserve">es </w:t>
      </w:r>
      <w:r w:rsidR="00055FE5" w:rsidRPr="00EE25D1">
        <w:rPr>
          <w:rFonts w:ascii="Calibri" w:hAnsi="Calibri"/>
        </w:rPr>
        <w:t xml:space="preserve">el apoyo representativo, quedando en último lugar la representación </w:t>
      </w:r>
      <w:r w:rsidR="00713CC7" w:rsidRPr="00EE25D1">
        <w:rPr>
          <w:rFonts w:ascii="Calibri" w:hAnsi="Calibri"/>
        </w:rPr>
        <w:t>“</w:t>
      </w:r>
      <w:r w:rsidR="00055FE5" w:rsidRPr="00EE25D1">
        <w:rPr>
          <w:rFonts w:ascii="Calibri" w:hAnsi="Calibri"/>
          <w:i/>
        </w:rPr>
        <w:t>plena o general</w:t>
      </w:r>
      <w:r w:rsidR="00713CC7" w:rsidRPr="00EE25D1">
        <w:rPr>
          <w:rFonts w:ascii="Calibri" w:hAnsi="Calibri"/>
          <w:i/>
        </w:rPr>
        <w:t>”</w:t>
      </w:r>
      <w:r w:rsidR="00055FE5" w:rsidRPr="00EE25D1">
        <w:rPr>
          <w:rFonts w:ascii="Calibri" w:hAnsi="Calibri"/>
        </w:rPr>
        <w:t xml:space="preserve">, que </w:t>
      </w:r>
      <w:r w:rsidR="00FE121D" w:rsidRPr="00EE25D1">
        <w:rPr>
          <w:rFonts w:ascii="Calibri" w:hAnsi="Calibri"/>
        </w:rPr>
        <w:t xml:space="preserve">la </w:t>
      </w:r>
      <w:r w:rsidR="00055FE5" w:rsidRPr="00EE25D1">
        <w:rPr>
          <w:rFonts w:ascii="Calibri" w:hAnsi="Calibri"/>
        </w:rPr>
        <w:t>cataloga</w:t>
      </w:r>
      <w:r w:rsidR="00FE121D" w:rsidRPr="00EE25D1">
        <w:rPr>
          <w:rFonts w:ascii="Calibri" w:hAnsi="Calibri"/>
        </w:rPr>
        <w:t xml:space="preserve"> </w:t>
      </w:r>
      <w:r w:rsidR="00055FE5" w:rsidRPr="00EE25D1">
        <w:rPr>
          <w:rFonts w:ascii="Calibri" w:hAnsi="Calibri"/>
        </w:rPr>
        <w:t xml:space="preserve">como </w:t>
      </w:r>
      <w:r w:rsidR="00713CC7" w:rsidRPr="00EE25D1">
        <w:rPr>
          <w:rFonts w:ascii="Calibri" w:hAnsi="Calibri"/>
        </w:rPr>
        <w:t>“</w:t>
      </w:r>
      <w:r w:rsidR="00055FE5" w:rsidRPr="00EE25D1">
        <w:rPr>
          <w:rFonts w:ascii="Calibri" w:hAnsi="Calibri"/>
        </w:rPr>
        <w:t>excepción dentro de la excepción</w:t>
      </w:r>
      <w:r w:rsidR="00713CC7" w:rsidRPr="00EE25D1">
        <w:rPr>
          <w:rFonts w:ascii="Calibri" w:hAnsi="Calibri"/>
        </w:rPr>
        <w:t>”</w:t>
      </w:r>
      <w:r w:rsidR="00055FE5" w:rsidRPr="00EE25D1">
        <w:rPr>
          <w:rStyle w:val="Refdenotaalpie"/>
          <w:rFonts w:ascii="Calibri" w:hAnsi="Calibri"/>
        </w:rPr>
        <w:footnoteReference w:id="50"/>
      </w:r>
      <w:r w:rsidR="00055FE5" w:rsidRPr="00EE25D1">
        <w:rPr>
          <w:rFonts w:ascii="Calibri" w:hAnsi="Calibri"/>
        </w:rPr>
        <w:t xml:space="preserve">. </w:t>
      </w:r>
      <w:r w:rsidR="00082BF2" w:rsidRPr="00EE25D1">
        <w:rPr>
          <w:rFonts w:ascii="Calibri" w:hAnsi="Calibri"/>
        </w:rPr>
        <w:t>Llama la atención la</w:t>
      </w:r>
      <w:r w:rsidR="00FE121D" w:rsidRPr="00EE25D1">
        <w:rPr>
          <w:rFonts w:ascii="Calibri" w:hAnsi="Calibri"/>
        </w:rPr>
        <w:t>s palabras que elige la autora -</w:t>
      </w:r>
      <w:r w:rsidR="00082BF2" w:rsidRPr="00EE25D1">
        <w:rPr>
          <w:rFonts w:ascii="Calibri" w:hAnsi="Calibri"/>
        </w:rPr>
        <w:t>r</w:t>
      </w:r>
      <w:r w:rsidR="00FE121D" w:rsidRPr="00EE25D1">
        <w:rPr>
          <w:rFonts w:ascii="Calibri" w:hAnsi="Calibri"/>
        </w:rPr>
        <w:t xml:space="preserve">epresentación </w:t>
      </w:r>
      <w:r w:rsidR="00713CC7" w:rsidRPr="00EE25D1">
        <w:rPr>
          <w:rFonts w:ascii="Calibri" w:hAnsi="Calibri"/>
        </w:rPr>
        <w:t>“</w:t>
      </w:r>
      <w:r w:rsidR="00FE121D" w:rsidRPr="00EE25D1">
        <w:rPr>
          <w:rFonts w:ascii="Calibri" w:hAnsi="Calibri"/>
        </w:rPr>
        <w:t>plena o general</w:t>
      </w:r>
      <w:r w:rsidR="00713CC7" w:rsidRPr="00EE25D1">
        <w:rPr>
          <w:rFonts w:ascii="Calibri" w:hAnsi="Calibri"/>
        </w:rPr>
        <w:t>”</w:t>
      </w:r>
      <w:r w:rsidR="00FE121D" w:rsidRPr="00EE25D1">
        <w:rPr>
          <w:rFonts w:ascii="Calibri" w:hAnsi="Calibri"/>
        </w:rPr>
        <w:t>-</w:t>
      </w:r>
      <w:r w:rsidR="00082BF2" w:rsidRPr="00EE25D1">
        <w:rPr>
          <w:rFonts w:ascii="Calibri" w:hAnsi="Calibri"/>
        </w:rPr>
        <w:t>, identif</w:t>
      </w:r>
      <w:r w:rsidR="00FE121D" w:rsidRPr="00EE25D1">
        <w:rPr>
          <w:rFonts w:ascii="Calibri" w:hAnsi="Calibri"/>
        </w:rPr>
        <w:t>icando la representación plena con la general, coincidiendo aquella expresión con la que emplea</w:t>
      </w:r>
      <w:r w:rsidR="00855B67" w:rsidRPr="00EE25D1">
        <w:rPr>
          <w:rFonts w:ascii="Calibri" w:hAnsi="Calibri"/>
        </w:rPr>
        <w:t>n</w:t>
      </w:r>
      <w:r w:rsidR="005051BC" w:rsidRPr="00EE25D1">
        <w:rPr>
          <w:rFonts w:ascii="Calibri" w:hAnsi="Calibri"/>
        </w:rPr>
        <w:t xml:space="preserve"> los artículos</w:t>
      </w:r>
      <w:r w:rsidR="00FE121D" w:rsidRPr="00EE25D1">
        <w:rPr>
          <w:rFonts w:ascii="Calibri" w:hAnsi="Calibri"/>
        </w:rPr>
        <w:t xml:space="preserve"> 1387 </w:t>
      </w:r>
      <w:r w:rsidR="00C71F23" w:rsidRPr="00EE25D1">
        <w:rPr>
          <w:rFonts w:ascii="Calibri" w:hAnsi="Calibri"/>
        </w:rPr>
        <w:t>y 1393.1º</w:t>
      </w:r>
      <w:r w:rsidR="00FE121D" w:rsidRPr="00EE25D1">
        <w:rPr>
          <w:rFonts w:ascii="Calibri" w:hAnsi="Calibri"/>
        </w:rPr>
        <w:t>.</w:t>
      </w:r>
    </w:p>
    <w:p w:rsidR="00573103" w:rsidRPr="00EE25D1" w:rsidRDefault="00A91C27" w:rsidP="00D44BF1">
      <w:pPr>
        <w:tabs>
          <w:tab w:val="left" w:pos="8505"/>
        </w:tabs>
        <w:spacing w:before="100" w:beforeAutospacing="1" w:after="100" w:afterAutospacing="1"/>
        <w:rPr>
          <w:rFonts w:ascii="Calibri" w:hAnsi="Calibri"/>
          <w:b/>
        </w:rPr>
      </w:pPr>
      <w:r w:rsidRPr="00EE25D1">
        <w:rPr>
          <w:rFonts w:ascii="Calibri" w:hAnsi="Calibri"/>
          <w:b/>
        </w:rPr>
        <w:t>4.1.2.</w:t>
      </w:r>
      <w:r w:rsidR="00573103" w:rsidRPr="00EE25D1">
        <w:rPr>
          <w:rFonts w:ascii="Calibri" w:hAnsi="Calibri"/>
          <w:b/>
        </w:rPr>
        <w:t xml:space="preserve"> El apoyo represent</w:t>
      </w:r>
      <w:r w:rsidR="001B5BED" w:rsidRPr="00EE25D1">
        <w:rPr>
          <w:rFonts w:ascii="Calibri" w:hAnsi="Calibri"/>
          <w:b/>
        </w:rPr>
        <w:t>ativo en cuanto a su intensidad</w:t>
      </w:r>
    </w:p>
    <w:p w:rsidR="00573103" w:rsidRPr="00EE25D1" w:rsidRDefault="00573103" w:rsidP="00D44BF1">
      <w:pPr>
        <w:tabs>
          <w:tab w:val="left" w:pos="8505"/>
        </w:tabs>
        <w:spacing w:before="100" w:beforeAutospacing="1" w:after="100" w:afterAutospacing="1"/>
        <w:rPr>
          <w:rFonts w:ascii="Calibri" w:hAnsi="Calibri"/>
        </w:rPr>
      </w:pPr>
      <w:r w:rsidRPr="00EE25D1">
        <w:rPr>
          <w:rFonts w:ascii="Calibri" w:hAnsi="Calibri"/>
        </w:rPr>
        <w:t>Las medidas de apoyo, en cuanto a su intensidad, pueden clasificarse, a nuestro juicio, en integradoras y sustitutivas. Las primeras están tipificadas, mientras que las segundas han pasado al</w:t>
      </w:r>
      <w:r w:rsidR="00FE121D" w:rsidRPr="00EE25D1">
        <w:rPr>
          <w:rFonts w:ascii="Calibri" w:hAnsi="Calibri"/>
        </w:rPr>
        <w:t xml:space="preserve"> olvido del legislado</w:t>
      </w:r>
      <w:r w:rsidR="00C01098" w:rsidRPr="00EE25D1">
        <w:rPr>
          <w:rFonts w:ascii="Calibri" w:hAnsi="Calibri"/>
        </w:rPr>
        <w:t>r patrio. En cuanto a las medidas</w:t>
      </w:r>
      <w:r w:rsidR="00FE121D" w:rsidRPr="00EE25D1">
        <w:rPr>
          <w:rFonts w:ascii="Calibri" w:hAnsi="Calibri"/>
        </w:rPr>
        <w:t xml:space="preserve"> de apoyo con facultades de representación integradoras,</w:t>
      </w:r>
      <w:r w:rsidRPr="00EE25D1">
        <w:rPr>
          <w:rFonts w:ascii="Calibri" w:hAnsi="Calibri"/>
        </w:rPr>
        <w:t xml:space="preserve"> </w:t>
      </w:r>
      <w:r w:rsidR="009903DE" w:rsidRPr="00EE25D1">
        <w:rPr>
          <w:rFonts w:ascii="Calibri" w:hAnsi="Calibri"/>
        </w:rPr>
        <w:t xml:space="preserve">el </w:t>
      </w:r>
      <w:r w:rsidR="000C0416" w:rsidRPr="00EE25D1">
        <w:rPr>
          <w:rFonts w:ascii="Calibri" w:hAnsi="Calibri"/>
        </w:rPr>
        <w:t>artículo</w:t>
      </w:r>
      <w:r w:rsidRPr="00EE25D1">
        <w:rPr>
          <w:rFonts w:ascii="Calibri" w:hAnsi="Calibri"/>
        </w:rPr>
        <w:t xml:space="preserve"> 24</w:t>
      </w:r>
      <w:r w:rsidR="00C71F23" w:rsidRPr="00EE25D1">
        <w:rPr>
          <w:rFonts w:ascii="Calibri" w:hAnsi="Calibri"/>
        </w:rPr>
        <w:t>9 del Código Civil</w:t>
      </w:r>
      <w:r w:rsidR="00FE121D" w:rsidRPr="00EE25D1">
        <w:rPr>
          <w:rFonts w:ascii="Calibri" w:hAnsi="Calibri"/>
        </w:rPr>
        <w:t xml:space="preserve"> dice, efectivamente, que </w:t>
      </w:r>
      <w:r w:rsidR="00713CC7" w:rsidRPr="00EE25D1">
        <w:rPr>
          <w:rFonts w:ascii="Calibri" w:hAnsi="Calibri"/>
        </w:rPr>
        <w:t>“</w:t>
      </w:r>
      <w:r w:rsidR="00FE121D" w:rsidRPr="00EE25D1">
        <w:rPr>
          <w:rFonts w:ascii="Calibri" w:hAnsi="Calibri"/>
        </w:rPr>
        <w:t>e</w:t>
      </w:r>
      <w:r w:rsidRPr="00EE25D1">
        <w:rPr>
          <w:rFonts w:ascii="Calibri" w:hAnsi="Calibri"/>
        </w:rPr>
        <w:t>n casos excepcionales, cuando, pese a haberse hecho un esfuerzo considerable, no sea posible determinar la voluntad, deseos y preferencias de la persona, las medidas de apoyo podrán incluir funciones representativas</w:t>
      </w:r>
      <w:r w:rsidR="00713CC7" w:rsidRPr="00EE25D1">
        <w:rPr>
          <w:rFonts w:ascii="Calibri" w:hAnsi="Calibri"/>
        </w:rPr>
        <w:t>”</w:t>
      </w:r>
      <w:r w:rsidRPr="00EE25D1">
        <w:rPr>
          <w:rFonts w:ascii="Calibri" w:hAnsi="Calibri"/>
        </w:rPr>
        <w:t xml:space="preserve">, </w:t>
      </w:r>
      <w:r w:rsidR="00855B67" w:rsidRPr="00EE25D1">
        <w:rPr>
          <w:rFonts w:ascii="Calibri" w:hAnsi="Calibri"/>
        </w:rPr>
        <w:t>para proseguir indicando</w:t>
      </w:r>
      <w:r w:rsidRPr="00EE25D1">
        <w:rPr>
          <w:rFonts w:ascii="Calibri" w:hAnsi="Calibri"/>
        </w:rPr>
        <w:t xml:space="preserve"> que, en el ejercicio de la representación, </w:t>
      </w:r>
      <w:r w:rsidR="00713CC7" w:rsidRPr="00EE25D1">
        <w:rPr>
          <w:rFonts w:ascii="Calibri" w:hAnsi="Calibri"/>
        </w:rPr>
        <w:t>“</w:t>
      </w:r>
      <w:r w:rsidRPr="00EE25D1">
        <w:rPr>
          <w:rFonts w:ascii="Calibri" w:hAnsi="Calibri"/>
        </w:rPr>
        <w:t>se deberá tener en cuenta la trayectoria vital de la persona con discapacidad, sus creencias y valores, así como los factores que ella hubiera tomado en consideración, con el fin de tomar la decisión que habría adoptado la persona en caso de no requerir la representación</w:t>
      </w:r>
      <w:r w:rsidR="00713CC7" w:rsidRPr="00EE25D1">
        <w:rPr>
          <w:rFonts w:ascii="Calibri" w:hAnsi="Calibri"/>
        </w:rPr>
        <w:t>”</w:t>
      </w:r>
      <w:r w:rsidRPr="00EE25D1">
        <w:rPr>
          <w:rFonts w:ascii="Calibri" w:hAnsi="Calibri"/>
        </w:rPr>
        <w:t>. A diferencia de lo que ocurría con la tutela de las personas incapacitadas, ya no se tiene que atender al interés del incapacitado en el ejercicio de la representación</w:t>
      </w:r>
      <w:r w:rsidR="00590119" w:rsidRPr="00EE25D1">
        <w:rPr>
          <w:rStyle w:val="Refdenotaalpie"/>
          <w:rFonts w:ascii="Calibri" w:hAnsi="Calibri"/>
        </w:rPr>
        <w:footnoteReference w:id="51"/>
      </w:r>
      <w:r w:rsidRPr="00EE25D1">
        <w:rPr>
          <w:rFonts w:ascii="Calibri" w:hAnsi="Calibri"/>
        </w:rPr>
        <w:t xml:space="preserve">, sino a la trayectoria vital de la persona con discapacidad, esto es, </w:t>
      </w:r>
      <w:r w:rsidR="00855B67" w:rsidRPr="00EE25D1">
        <w:rPr>
          <w:rFonts w:ascii="Calibri" w:hAnsi="Calibri"/>
        </w:rPr>
        <w:t xml:space="preserve">a </w:t>
      </w:r>
      <w:r w:rsidRPr="00EE25D1">
        <w:rPr>
          <w:rFonts w:ascii="Calibri" w:hAnsi="Calibri"/>
        </w:rPr>
        <w:t xml:space="preserve">la decisión que habría tomado en caso de no tener mermadas, o anuladas, sus facultades intelectivas y cognitivas. </w:t>
      </w:r>
      <w:r w:rsidR="00590119" w:rsidRPr="00EE25D1">
        <w:rPr>
          <w:rFonts w:ascii="Calibri" w:hAnsi="Calibri"/>
        </w:rPr>
        <w:t>Decir que en estos escenarios la medida de apoyo es sustitutiva, amén de significar un reduccionismo, se aleja de los principios de la CDPD</w:t>
      </w:r>
      <w:r w:rsidR="001272BC" w:rsidRPr="00EE25D1">
        <w:rPr>
          <w:rFonts w:ascii="Calibri" w:hAnsi="Calibri"/>
        </w:rPr>
        <w:t xml:space="preserve">, pues la persona que brinda el apoyo de corte representativo no sustituye su voluntad por la de la persona con discapacidad, sino que debe hacer un esfuerzo para averiguar, </w:t>
      </w:r>
      <w:r w:rsidR="009903DE" w:rsidRPr="00EE25D1">
        <w:rPr>
          <w:rFonts w:ascii="Calibri" w:hAnsi="Calibri"/>
        </w:rPr>
        <w:t xml:space="preserve">partiendo </w:t>
      </w:r>
      <w:r w:rsidR="001272BC" w:rsidRPr="00EE25D1">
        <w:rPr>
          <w:rFonts w:ascii="Calibri" w:hAnsi="Calibri"/>
        </w:rPr>
        <w:t>de la trayectoria vital, la decisión que habría tomado la persona acreedora del ap</w:t>
      </w:r>
      <w:r w:rsidR="000C0416" w:rsidRPr="00EE25D1">
        <w:rPr>
          <w:rFonts w:ascii="Calibri" w:hAnsi="Calibri"/>
        </w:rPr>
        <w:t>oyo y, a tal fin, el artículo</w:t>
      </w:r>
      <w:r w:rsidR="00C71F23" w:rsidRPr="00EE25D1">
        <w:rPr>
          <w:rFonts w:ascii="Calibri" w:hAnsi="Calibri"/>
        </w:rPr>
        <w:t xml:space="preserve"> 282</w:t>
      </w:r>
      <w:r w:rsidR="001272BC" w:rsidRPr="00EE25D1">
        <w:rPr>
          <w:rFonts w:ascii="Calibri" w:hAnsi="Calibri"/>
        </w:rPr>
        <w:t xml:space="preserve">, con buen criterio, cristaliza el deber del curador, extensible a las restantes medidas de apoyo como la guarda de hecho, de </w:t>
      </w:r>
      <w:r w:rsidR="00713CC7" w:rsidRPr="00EE25D1">
        <w:rPr>
          <w:rFonts w:ascii="Calibri" w:hAnsi="Calibri"/>
        </w:rPr>
        <w:t>“</w:t>
      </w:r>
      <w:r w:rsidR="001272BC" w:rsidRPr="00EE25D1">
        <w:rPr>
          <w:rFonts w:ascii="Calibri" w:hAnsi="Calibri"/>
        </w:rPr>
        <w:t>mantener contacto personal con la persona a la que va a prestar apoyo y a desempeñar las funciones encomendadas con la diligencia debida</w:t>
      </w:r>
      <w:r w:rsidR="00713CC7" w:rsidRPr="00EE25D1">
        <w:rPr>
          <w:rFonts w:ascii="Calibri" w:hAnsi="Calibri"/>
        </w:rPr>
        <w:t>”</w:t>
      </w:r>
      <w:r w:rsidR="001272BC" w:rsidRPr="00EE25D1">
        <w:rPr>
          <w:rFonts w:ascii="Calibri" w:hAnsi="Calibri"/>
        </w:rPr>
        <w:t xml:space="preserve">. </w:t>
      </w:r>
    </w:p>
    <w:p w:rsidR="001272BC" w:rsidRPr="00EE25D1" w:rsidRDefault="005F665C" w:rsidP="00D44BF1">
      <w:pPr>
        <w:tabs>
          <w:tab w:val="left" w:pos="8505"/>
        </w:tabs>
        <w:spacing w:before="100" w:beforeAutospacing="1" w:after="100" w:afterAutospacing="1"/>
        <w:rPr>
          <w:rFonts w:ascii="Calibri" w:hAnsi="Calibri"/>
        </w:rPr>
      </w:pPr>
      <w:r w:rsidRPr="00EE25D1">
        <w:rPr>
          <w:rFonts w:ascii="Calibri" w:hAnsi="Calibri"/>
        </w:rPr>
        <w:t>Ahora bien, habrá casos en donde la persona provista de apoyo no haya disfrutado de una trayectoria vital ligada al principio de la autonomía de la voluntad. Piénsese en los nacidos con una oligofrenia extrema, en el grado de la idiocia, que, pese a haber llegado a la mayoría de edad, no poseen suficientes facultades ni tan siquiera para haber ap</w:t>
      </w:r>
      <w:r w:rsidR="00AA6214" w:rsidRPr="00EE25D1">
        <w:rPr>
          <w:rFonts w:ascii="Calibri" w:hAnsi="Calibri"/>
        </w:rPr>
        <w:t xml:space="preserve">rendido un lenguaje articulado. </w:t>
      </w:r>
      <w:r w:rsidR="00D17EED" w:rsidRPr="00EE25D1">
        <w:rPr>
          <w:rFonts w:ascii="Calibri" w:hAnsi="Calibri"/>
        </w:rPr>
        <w:t>En estos escenarios extremos</w:t>
      </w:r>
      <w:r w:rsidR="00FE121D" w:rsidRPr="00EE25D1">
        <w:rPr>
          <w:rFonts w:ascii="Calibri" w:hAnsi="Calibri"/>
        </w:rPr>
        <w:t xml:space="preserve">, donde la persona no es capaz </w:t>
      </w:r>
      <w:r w:rsidR="00D17EED" w:rsidRPr="00EE25D1">
        <w:rPr>
          <w:rFonts w:ascii="Calibri" w:hAnsi="Calibri"/>
          <w:i/>
        </w:rPr>
        <w:t>per se</w:t>
      </w:r>
      <w:r w:rsidR="00FE121D" w:rsidRPr="00EE25D1">
        <w:rPr>
          <w:rFonts w:ascii="Calibri" w:hAnsi="Calibri"/>
        </w:rPr>
        <w:t xml:space="preserve"> </w:t>
      </w:r>
      <w:r w:rsidR="00D17EED" w:rsidRPr="00EE25D1">
        <w:rPr>
          <w:rFonts w:ascii="Calibri" w:hAnsi="Calibri"/>
        </w:rPr>
        <w:t>de formar ni expresar ningún tipo de voluntad ni deseo,</w:t>
      </w:r>
      <w:r w:rsidR="00FE121D" w:rsidRPr="00EE25D1">
        <w:rPr>
          <w:rFonts w:ascii="Calibri" w:hAnsi="Calibri"/>
        </w:rPr>
        <w:t xml:space="preserve"> sería inocuo y estéril</w:t>
      </w:r>
      <w:r w:rsidR="00D17EED" w:rsidRPr="00EE25D1">
        <w:rPr>
          <w:rFonts w:ascii="Calibri" w:hAnsi="Calibri"/>
        </w:rPr>
        <w:t xml:space="preserve"> hablar de</w:t>
      </w:r>
      <w:r w:rsidR="00FE121D" w:rsidRPr="00EE25D1">
        <w:rPr>
          <w:rFonts w:ascii="Calibri" w:hAnsi="Calibri"/>
        </w:rPr>
        <w:t xml:space="preserve"> reconstrucción o integración de la voluntad o,</w:t>
      </w:r>
      <w:r w:rsidR="000C0416" w:rsidRPr="00EE25D1">
        <w:rPr>
          <w:rFonts w:ascii="Calibri" w:hAnsi="Calibri"/>
        </w:rPr>
        <w:t xml:space="preserve"> en palabras del artículo </w:t>
      </w:r>
      <w:r w:rsidR="00C71F23" w:rsidRPr="00EE25D1">
        <w:rPr>
          <w:rFonts w:ascii="Calibri" w:hAnsi="Calibri"/>
        </w:rPr>
        <w:t>249 del Código Civil</w:t>
      </w:r>
      <w:r w:rsidR="00D17EED" w:rsidRPr="00EE25D1">
        <w:rPr>
          <w:rFonts w:ascii="Calibri" w:hAnsi="Calibri"/>
        </w:rPr>
        <w:t xml:space="preserve">, de averiguar la trayectoria vital de la persona con discapacidad y, en concreto, sus creencias y valores a fin de discernir la decisión que esta habría tomado, siendo menester </w:t>
      </w:r>
      <w:r w:rsidR="00AA6214" w:rsidRPr="00EE25D1">
        <w:rPr>
          <w:rFonts w:ascii="Calibri" w:hAnsi="Calibri"/>
        </w:rPr>
        <w:t xml:space="preserve">abogar por la </w:t>
      </w:r>
      <w:r w:rsidR="00D17EED" w:rsidRPr="00EE25D1">
        <w:rPr>
          <w:rFonts w:ascii="Calibri" w:hAnsi="Calibri"/>
        </w:rPr>
        <w:t>representación sustituti</w:t>
      </w:r>
      <w:r w:rsidR="00AA6214" w:rsidRPr="00EE25D1">
        <w:rPr>
          <w:rFonts w:ascii="Calibri" w:hAnsi="Calibri"/>
        </w:rPr>
        <w:t>va, cuyo eje de coordenadas estaría</w:t>
      </w:r>
      <w:r w:rsidR="00D17EED" w:rsidRPr="00EE25D1">
        <w:rPr>
          <w:rFonts w:ascii="Calibri" w:hAnsi="Calibri"/>
        </w:rPr>
        <w:t xml:space="preserve"> en el interés superior de la persona con discapacidad</w:t>
      </w:r>
      <w:r w:rsidR="007777A6" w:rsidRPr="00EE25D1">
        <w:rPr>
          <w:rStyle w:val="Refdenotaalpie"/>
          <w:rFonts w:ascii="Calibri" w:hAnsi="Calibri"/>
        </w:rPr>
        <w:footnoteReference w:id="52"/>
      </w:r>
      <w:r w:rsidR="00D17EED" w:rsidRPr="00EE25D1">
        <w:rPr>
          <w:rFonts w:ascii="Calibri" w:hAnsi="Calibri"/>
        </w:rPr>
        <w:t xml:space="preserve">. </w:t>
      </w:r>
    </w:p>
    <w:p w:rsidR="00082BF2" w:rsidRPr="00EE25D1" w:rsidRDefault="00A91C27" w:rsidP="00D44BF1">
      <w:pPr>
        <w:tabs>
          <w:tab w:val="left" w:pos="8505"/>
        </w:tabs>
        <w:spacing w:before="100" w:beforeAutospacing="1" w:after="100" w:afterAutospacing="1"/>
        <w:rPr>
          <w:rFonts w:ascii="Calibri" w:hAnsi="Calibri"/>
          <w:b/>
        </w:rPr>
      </w:pPr>
      <w:r w:rsidRPr="00EE25D1">
        <w:rPr>
          <w:rFonts w:ascii="Calibri" w:hAnsi="Calibri"/>
          <w:b/>
        </w:rPr>
        <w:t>4.1.3.</w:t>
      </w:r>
      <w:r w:rsidR="000B1F6C" w:rsidRPr="00EE25D1">
        <w:rPr>
          <w:rFonts w:ascii="Calibri" w:hAnsi="Calibri"/>
          <w:b/>
        </w:rPr>
        <w:t xml:space="preserve"> Conclusiones</w:t>
      </w:r>
    </w:p>
    <w:p w:rsidR="00225A12" w:rsidRPr="00EE25D1" w:rsidRDefault="00B902B3" w:rsidP="00D44BF1">
      <w:pPr>
        <w:tabs>
          <w:tab w:val="left" w:pos="8505"/>
        </w:tabs>
        <w:spacing w:before="100" w:beforeAutospacing="1" w:after="100" w:afterAutospacing="1"/>
        <w:rPr>
          <w:rFonts w:ascii="Calibri" w:hAnsi="Calibri"/>
        </w:rPr>
      </w:pPr>
      <w:r w:rsidRPr="00EE25D1">
        <w:rPr>
          <w:rFonts w:ascii="Calibri" w:hAnsi="Calibri"/>
        </w:rPr>
        <w:t xml:space="preserve">Teniendo todas las herramientas para postularnos sobre la expresión </w:t>
      </w:r>
      <w:r w:rsidR="00713CC7" w:rsidRPr="00EE25D1">
        <w:rPr>
          <w:rFonts w:ascii="Calibri" w:hAnsi="Calibri"/>
        </w:rPr>
        <w:t>“</w:t>
      </w:r>
      <w:r w:rsidRPr="00EE25D1">
        <w:rPr>
          <w:rFonts w:ascii="Calibri" w:hAnsi="Calibri"/>
        </w:rPr>
        <w:t>representación plena</w:t>
      </w:r>
      <w:r w:rsidR="00713CC7" w:rsidRPr="00EE25D1">
        <w:rPr>
          <w:rFonts w:ascii="Calibri" w:hAnsi="Calibri"/>
        </w:rPr>
        <w:t>”</w:t>
      </w:r>
      <w:r w:rsidRPr="00EE25D1">
        <w:rPr>
          <w:rFonts w:ascii="Calibri" w:hAnsi="Calibri"/>
        </w:rPr>
        <w:t xml:space="preserve"> que utiliza</w:t>
      </w:r>
      <w:r w:rsidR="00855B67" w:rsidRPr="00EE25D1">
        <w:rPr>
          <w:rFonts w:ascii="Calibri" w:hAnsi="Calibri"/>
        </w:rPr>
        <w:t>n</w:t>
      </w:r>
      <w:r w:rsidRPr="00EE25D1">
        <w:rPr>
          <w:rFonts w:ascii="Calibri" w:hAnsi="Calibri"/>
        </w:rPr>
        <w:t xml:space="preserve"> lo</w:t>
      </w:r>
      <w:r w:rsidR="005051BC" w:rsidRPr="00EE25D1">
        <w:rPr>
          <w:rFonts w:ascii="Calibri" w:hAnsi="Calibri"/>
        </w:rPr>
        <w:t>s artículos</w:t>
      </w:r>
      <w:r w:rsidR="00C71F23" w:rsidRPr="00EE25D1">
        <w:rPr>
          <w:rFonts w:ascii="Calibri" w:hAnsi="Calibri"/>
        </w:rPr>
        <w:t xml:space="preserve"> 1387 y 1393.1º</w:t>
      </w:r>
      <w:r w:rsidRPr="00EE25D1">
        <w:rPr>
          <w:rFonts w:ascii="Calibri" w:hAnsi="Calibri"/>
        </w:rPr>
        <w:t xml:space="preserve">, </w:t>
      </w:r>
      <w:r w:rsidR="00225A12" w:rsidRPr="00EE25D1">
        <w:rPr>
          <w:rFonts w:ascii="Calibri" w:hAnsi="Calibri"/>
        </w:rPr>
        <w:t>dibujaremos unas breves conclusiones.</w:t>
      </w:r>
    </w:p>
    <w:p w:rsidR="00022A91" w:rsidRPr="00EE25D1" w:rsidRDefault="00225A12" w:rsidP="00D44BF1">
      <w:pPr>
        <w:tabs>
          <w:tab w:val="left" w:pos="8505"/>
        </w:tabs>
        <w:spacing w:before="100" w:beforeAutospacing="1" w:after="100" w:afterAutospacing="1"/>
        <w:rPr>
          <w:rFonts w:ascii="Calibri" w:hAnsi="Calibri"/>
        </w:rPr>
      </w:pPr>
      <w:r w:rsidRPr="00EE25D1">
        <w:rPr>
          <w:rFonts w:ascii="Calibri" w:hAnsi="Calibri"/>
        </w:rPr>
        <w:t xml:space="preserve">La primera es que </w:t>
      </w:r>
      <w:r w:rsidR="00B902B3" w:rsidRPr="00EE25D1">
        <w:rPr>
          <w:rFonts w:ascii="Calibri" w:hAnsi="Calibri"/>
        </w:rPr>
        <w:t xml:space="preserve">el vocablo </w:t>
      </w:r>
      <w:r w:rsidR="00713CC7" w:rsidRPr="00EE25D1">
        <w:rPr>
          <w:rFonts w:ascii="Calibri" w:hAnsi="Calibri"/>
        </w:rPr>
        <w:t>“</w:t>
      </w:r>
      <w:r w:rsidR="00B902B3" w:rsidRPr="00EE25D1">
        <w:rPr>
          <w:rFonts w:ascii="Calibri" w:hAnsi="Calibri"/>
        </w:rPr>
        <w:t>plena</w:t>
      </w:r>
      <w:r w:rsidR="00713CC7" w:rsidRPr="00EE25D1">
        <w:rPr>
          <w:rFonts w:ascii="Calibri" w:hAnsi="Calibri"/>
        </w:rPr>
        <w:t>”</w:t>
      </w:r>
      <w:r w:rsidR="00B902B3" w:rsidRPr="00EE25D1">
        <w:rPr>
          <w:rFonts w:ascii="Calibri" w:hAnsi="Calibri"/>
        </w:rPr>
        <w:t xml:space="preserve"> hace referencia a la medida de apoyo representativa en cuanto a su extensión, no respecto a su intensidad, pues lo mismo da que la representación sea integradora que sustitutiva, dada cuenta que el cónyuge, por la merma de sus facultades, no podrá formar su voluntad respecto a la administración y gestión de los bienes ganancial</w:t>
      </w:r>
      <w:r w:rsidR="00665F2C" w:rsidRPr="00EE25D1">
        <w:rPr>
          <w:rFonts w:ascii="Calibri" w:hAnsi="Calibri"/>
        </w:rPr>
        <w:t xml:space="preserve">es. Siempre que haya un cónyuge </w:t>
      </w:r>
      <w:r w:rsidR="00B902B3" w:rsidRPr="00EE25D1">
        <w:rPr>
          <w:rFonts w:ascii="Calibri" w:hAnsi="Calibri"/>
        </w:rPr>
        <w:t>habrá</w:t>
      </w:r>
      <w:r w:rsidR="00665F2C" w:rsidRPr="00EE25D1">
        <w:rPr>
          <w:rFonts w:ascii="Calibri" w:hAnsi="Calibri"/>
        </w:rPr>
        <w:t xml:space="preserve"> una persona que reúna</w:t>
      </w:r>
      <w:r w:rsidR="00B902B3" w:rsidRPr="00EE25D1">
        <w:rPr>
          <w:rFonts w:ascii="Calibri" w:hAnsi="Calibri"/>
        </w:rPr>
        <w:t xml:space="preserve"> una trayectoria vital</w:t>
      </w:r>
      <w:r w:rsidR="000B1F6C" w:rsidRPr="00EE25D1">
        <w:rPr>
          <w:rFonts w:ascii="Calibri" w:hAnsi="Calibri"/>
        </w:rPr>
        <w:t xml:space="preserve"> que descartaría, </w:t>
      </w:r>
      <w:r w:rsidR="00855B67" w:rsidRPr="00EE25D1">
        <w:rPr>
          <w:rFonts w:ascii="Calibri" w:hAnsi="Calibri"/>
        </w:rPr>
        <w:t>de plano</w:t>
      </w:r>
      <w:r w:rsidR="000B1F6C" w:rsidRPr="00EE25D1">
        <w:rPr>
          <w:rFonts w:ascii="Calibri" w:hAnsi="Calibri"/>
        </w:rPr>
        <w:t>, la representación sustitutiva,</w:t>
      </w:r>
      <w:r w:rsidR="00B902B3" w:rsidRPr="00EE25D1">
        <w:rPr>
          <w:rFonts w:ascii="Calibri" w:hAnsi="Calibri"/>
        </w:rPr>
        <w:t xml:space="preserve"> y si el consorte tiene </w:t>
      </w:r>
      <w:r w:rsidR="000B1F6C" w:rsidRPr="00EE25D1">
        <w:rPr>
          <w:rFonts w:ascii="Calibri" w:hAnsi="Calibri"/>
        </w:rPr>
        <w:t xml:space="preserve">una </w:t>
      </w:r>
      <w:r w:rsidR="00B902B3" w:rsidRPr="00EE25D1">
        <w:rPr>
          <w:rFonts w:ascii="Calibri" w:hAnsi="Calibri"/>
        </w:rPr>
        <w:t xml:space="preserve">curatela representativa general, o en palabras de los citados artículos </w:t>
      </w:r>
      <w:r w:rsidR="00713CC7" w:rsidRPr="00EE25D1">
        <w:rPr>
          <w:rFonts w:ascii="Calibri" w:hAnsi="Calibri"/>
        </w:rPr>
        <w:t>“</w:t>
      </w:r>
      <w:r w:rsidR="00B902B3" w:rsidRPr="00EE25D1">
        <w:rPr>
          <w:rFonts w:ascii="Calibri" w:hAnsi="Calibri"/>
        </w:rPr>
        <w:t>plena</w:t>
      </w:r>
      <w:r w:rsidR="00713CC7" w:rsidRPr="00EE25D1">
        <w:rPr>
          <w:rFonts w:ascii="Calibri" w:hAnsi="Calibri"/>
        </w:rPr>
        <w:t>”</w:t>
      </w:r>
      <w:r w:rsidR="00B902B3" w:rsidRPr="00EE25D1">
        <w:rPr>
          <w:rFonts w:ascii="Calibri" w:hAnsi="Calibri"/>
        </w:rPr>
        <w:t>, este, a la hora d</w:t>
      </w:r>
      <w:r w:rsidR="00AA6214" w:rsidRPr="00EE25D1">
        <w:rPr>
          <w:rFonts w:ascii="Calibri" w:hAnsi="Calibri"/>
        </w:rPr>
        <w:t xml:space="preserve">e gestionar los bienes comunes </w:t>
      </w:r>
      <w:r w:rsidR="000C0416" w:rsidRPr="00EE25D1">
        <w:rPr>
          <w:rFonts w:ascii="Calibri" w:hAnsi="Calibri"/>
        </w:rPr>
        <w:t>a fuer del artículo</w:t>
      </w:r>
      <w:r w:rsidR="00C71F23" w:rsidRPr="00EE25D1">
        <w:rPr>
          <w:rFonts w:ascii="Calibri" w:hAnsi="Calibri"/>
        </w:rPr>
        <w:t xml:space="preserve"> 1387</w:t>
      </w:r>
      <w:r w:rsidR="00B902B3" w:rsidRPr="00EE25D1">
        <w:rPr>
          <w:rFonts w:ascii="Calibri" w:hAnsi="Calibri"/>
        </w:rPr>
        <w:t xml:space="preserve">, deberá valorar no solo la decisión que personalmente tomaría, sino también la </w:t>
      </w:r>
      <w:r w:rsidRPr="00EE25D1">
        <w:rPr>
          <w:rFonts w:ascii="Calibri" w:hAnsi="Calibri"/>
        </w:rPr>
        <w:t>que habría adoptado su consorte</w:t>
      </w:r>
      <w:r w:rsidR="00B902B3" w:rsidRPr="00EE25D1">
        <w:rPr>
          <w:rFonts w:ascii="Calibri" w:hAnsi="Calibri"/>
        </w:rPr>
        <w:t xml:space="preserve"> conforme a su otrora voluntad y preferencias. A pesar de que la LAPCD eliminará d</w:t>
      </w:r>
      <w:r w:rsidR="00C01098" w:rsidRPr="00EE25D1">
        <w:rPr>
          <w:rFonts w:ascii="Calibri" w:hAnsi="Calibri"/>
        </w:rPr>
        <w:t>e su Exposición de Motivos la fó</w:t>
      </w:r>
      <w:r w:rsidR="00B902B3" w:rsidRPr="00EE25D1">
        <w:rPr>
          <w:rFonts w:ascii="Calibri" w:hAnsi="Calibri"/>
        </w:rPr>
        <w:t xml:space="preserve">rmula de la representación general que albergaba </w:t>
      </w:r>
      <w:r w:rsidRPr="00EE25D1">
        <w:rPr>
          <w:rFonts w:ascii="Calibri" w:hAnsi="Calibri"/>
        </w:rPr>
        <w:t>el</w:t>
      </w:r>
      <w:r w:rsidR="00B902B3" w:rsidRPr="00EE25D1">
        <w:rPr>
          <w:rFonts w:ascii="Calibri" w:hAnsi="Calibri"/>
        </w:rPr>
        <w:t xml:space="preserve"> Anteproyecto, entendemos </w:t>
      </w:r>
      <w:r w:rsidR="00665F2C" w:rsidRPr="00EE25D1">
        <w:rPr>
          <w:rFonts w:ascii="Calibri" w:hAnsi="Calibri"/>
        </w:rPr>
        <w:t>que</w:t>
      </w:r>
      <w:r w:rsidR="00183AA9" w:rsidRPr="00EE25D1">
        <w:rPr>
          <w:rFonts w:ascii="Calibri" w:hAnsi="Calibri"/>
        </w:rPr>
        <w:t>,</w:t>
      </w:r>
      <w:r w:rsidR="000C0416" w:rsidRPr="00EE25D1">
        <w:rPr>
          <w:rFonts w:ascii="Calibri" w:hAnsi="Calibri"/>
        </w:rPr>
        <w:t xml:space="preserve"> aunque el artículo</w:t>
      </w:r>
      <w:r w:rsidR="00C71F23" w:rsidRPr="00EE25D1">
        <w:rPr>
          <w:rFonts w:ascii="Calibri" w:hAnsi="Calibri"/>
        </w:rPr>
        <w:t xml:space="preserve"> 269 </w:t>
      </w:r>
      <w:r w:rsidR="00665F2C" w:rsidRPr="00EE25D1">
        <w:rPr>
          <w:rFonts w:ascii="Calibri" w:hAnsi="Calibri"/>
        </w:rPr>
        <w:t xml:space="preserve">hable de actos concretos, ello no es óbice para </w:t>
      </w:r>
      <w:r w:rsidRPr="00EE25D1">
        <w:rPr>
          <w:rFonts w:ascii="Calibri" w:hAnsi="Calibri"/>
        </w:rPr>
        <w:t>que se declare una</w:t>
      </w:r>
      <w:r w:rsidR="00665F2C" w:rsidRPr="00EE25D1">
        <w:rPr>
          <w:rFonts w:ascii="Calibri" w:hAnsi="Calibri"/>
        </w:rPr>
        <w:t xml:space="preserve"> representación general, pues el fallo de la resolución judicial puede enumerar, de manera detallada y específica, los actos personales y patrimoniales a los que se extiende la representación y llegarse a la conclusión, </w:t>
      </w:r>
      <w:r w:rsidR="00DD0132" w:rsidRPr="00EE25D1">
        <w:rPr>
          <w:rFonts w:ascii="Calibri" w:hAnsi="Calibri"/>
        </w:rPr>
        <w:t>de acuerdo con</w:t>
      </w:r>
      <w:r w:rsidR="00665F2C" w:rsidRPr="00EE25D1">
        <w:rPr>
          <w:rFonts w:ascii="Calibri" w:hAnsi="Calibri"/>
        </w:rPr>
        <w:t xml:space="preserve"> la </w:t>
      </w:r>
      <w:r w:rsidR="00FF660C" w:rsidRPr="00EE25D1">
        <w:rPr>
          <w:rFonts w:ascii="Calibri" w:hAnsi="Calibri"/>
        </w:rPr>
        <w:t>prolija</w:t>
      </w:r>
      <w:r w:rsidR="00183AA9" w:rsidRPr="00EE25D1">
        <w:rPr>
          <w:rFonts w:ascii="Calibri" w:hAnsi="Calibri"/>
        </w:rPr>
        <w:t xml:space="preserve"> </w:t>
      </w:r>
      <w:r w:rsidR="00665F2C" w:rsidRPr="00EE25D1">
        <w:rPr>
          <w:rFonts w:ascii="Calibri" w:hAnsi="Calibri"/>
        </w:rPr>
        <w:t xml:space="preserve">enumeración, que la medida de apoyo representativa se contempla </w:t>
      </w:r>
      <w:r w:rsidR="00665F2C" w:rsidRPr="00EE25D1">
        <w:rPr>
          <w:rFonts w:ascii="Calibri" w:hAnsi="Calibri"/>
          <w:i/>
        </w:rPr>
        <w:t>in genere</w:t>
      </w:r>
      <w:r w:rsidR="00665F2C" w:rsidRPr="00EE25D1">
        <w:rPr>
          <w:rFonts w:ascii="Calibri" w:hAnsi="Calibri"/>
        </w:rPr>
        <w:t xml:space="preserve"> (salvo los actos existenc</w:t>
      </w:r>
      <w:r w:rsidR="000C0416" w:rsidRPr="00EE25D1">
        <w:rPr>
          <w:rFonts w:ascii="Calibri" w:hAnsi="Calibri"/>
        </w:rPr>
        <w:t>iales y los previstos en el artículo</w:t>
      </w:r>
      <w:r w:rsidR="00665F2C" w:rsidRPr="00EE25D1">
        <w:rPr>
          <w:rFonts w:ascii="Calibri" w:hAnsi="Calibri"/>
        </w:rPr>
        <w:t xml:space="preserve"> 276</w:t>
      </w:r>
      <w:r w:rsidRPr="00EE25D1">
        <w:rPr>
          <w:rFonts w:ascii="Calibri" w:hAnsi="Calibri"/>
        </w:rPr>
        <w:t xml:space="preserve"> CC</w:t>
      </w:r>
      <w:r w:rsidR="00665F2C" w:rsidRPr="00EE25D1">
        <w:rPr>
          <w:rFonts w:ascii="Calibri" w:hAnsi="Calibri"/>
        </w:rPr>
        <w:t xml:space="preserve">). Lo que veta el legislador, a nuestro juicio, es que el Juez establezca, sin más, una barra libre representativa, alejándose del principio de </w:t>
      </w:r>
      <w:r w:rsidRPr="00EE25D1">
        <w:rPr>
          <w:rFonts w:ascii="Calibri" w:hAnsi="Calibri"/>
        </w:rPr>
        <w:t>necesidad y proporcionalidad y</w:t>
      </w:r>
      <w:r w:rsidR="000B1F6C" w:rsidRPr="00EE25D1">
        <w:rPr>
          <w:rFonts w:ascii="Calibri" w:hAnsi="Calibri"/>
        </w:rPr>
        <w:t xml:space="preserve"> </w:t>
      </w:r>
      <w:r w:rsidRPr="00EE25D1">
        <w:rPr>
          <w:rFonts w:ascii="Calibri" w:hAnsi="Calibri"/>
        </w:rPr>
        <w:t>sin concretar la extensión</w:t>
      </w:r>
      <w:r w:rsidR="00FF660C" w:rsidRPr="00EE25D1">
        <w:rPr>
          <w:rFonts w:ascii="Calibri" w:hAnsi="Calibri"/>
        </w:rPr>
        <w:t xml:space="preserve"> de la representación</w:t>
      </w:r>
      <w:r w:rsidRPr="00EE25D1">
        <w:rPr>
          <w:rFonts w:ascii="Calibri" w:hAnsi="Calibri"/>
        </w:rPr>
        <w:t>,</w:t>
      </w:r>
      <w:r w:rsidR="00FF660C" w:rsidRPr="00EE25D1">
        <w:rPr>
          <w:rFonts w:ascii="Calibri" w:hAnsi="Calibri"/>
        </w:rPr>
        <w:t xml:space="preserve"> que deberá estar</w:t>
      </w:r>
      <w:r w:rsidRPr="00EE25D1">
        <w:rPr>
          <w:rFonts w:ascii="Calibri" w:hAnsi="Calibri"/>
        </w:rPr>
        <w:t xml:space="preserve"> ligada a </w:t>
      </w:r>
      <w:r w:rsidR="00AA6214" w:rsidRPr="00EE25D1">
        <w:rPr>
          <w:rFonts w:ascii="Calibri" w:hAnsi="Calibri"/>
        </w:rPr>
        <w:t>las particularidades</w:t>
      </w:r>
      <w:r w:rsidRPr="00EE25D1">
        <w:rPr>
          <w:rFonts w:ascii="Calibri" w:hAnsi="Calibri"/>
        </w:rPr>
        <w:t xml:space="preserve"> del caso y </w:t>
      </w:r>
      <w:r w:rsidR="00AA6214" w:rsidRPr="00EE25D1">
        <w:rPr>
          <w:rFonts w:ascii="Calibri" w:hAnsi="Calibri"/>
        </w:rPr>
        <w:t xml:space="preserve">a </w:t>
      </w:r>
      <w:r w:rsidR="00855B67" w:rsidRPr="00EE25D1">
        <w:rPr>
          <w:rFonts w:ascii="Calibri" w:hAnsi="Calibri"/>
        </w:rPr>
        <w:t>las aptitudes de la</w:t>
      </w:r>
      <w:r w:rsidR="00FF660C" w:rsidRPr="00EE25D1">
        <w:rPr>
          <w:rFonts w:ascii="Calibri" w:hAnsi="Calibri"/>
        </w:rPr>
        <w:t xml:space="preserve"> persona con discapacidad.</w:t>
      </w:r>
    </w:p>
    <w:p w:rsidR="000B1F6C" w:rsidRPr="00EE25D1" w:rsidRDefault="00225A12" w:rsidP="00D44BF1">
      <w:pPr>
        <w:tabs>
          <w:tab w:val="left" w:pos="8505"/>
        </w:tabs>
        <w:spacing w:before="100" w:beforeAutospacing="1" w:after="100" w:afterAutospacing="1"/>
        <w:rPr>
          <w:rFonts w:ascii="Calibri" w:hAnsi="Calibri"/>
        </w:rPr>
      </w:pPr>
      <w:r w:rsidRPr="00EE25D1">
        <w:rPr>
          <w:rFonts w:ascii="Calibri" w:hAnsi="Calibri"/>
        </w:rPr>
        <w:t xml:space="preserve">La segunda conclusión responde a la incógnita </w:t>
      </w:r>
      <w:r w:rsidR="00855B67" w:rsidRPr="00EE25D1">
        <w:rPr>
          <w:rFonts w:ascii="Calibri" w:hAnsi="Calibri"/>
        </w:rPr>
        <w:t xml:space="preserve">de </w:t>
      </w:r>
      <w:r w:rsidRPr="00EE25D1">
        <w:rPr>
          <w:rFonts w:ascii="Calibri" w:hAnsi="Calibri"/>
        </w:rPr>
        <w:t>si la representación</w:t>
      </w:r>
      <w:r w:rsidR="005051BC" w:rsidRPr="00EE25D1">
        <w:rPr>
          <w:rFonts w:ascii="Calibri" w:hAnsi="Calibri"/>
        </w:rPr>
        <w:t xml:space="preserve"> general que activaría los artículos </w:t>
      </w:r>
      <w:r w:rsidRPr="00EE25D1">
        <w:rPr>
          <w:rFonts w:ascii="Calibri" w:hAnsi="Calibri"/>
        </w:rPr>
        <w:t xml:space="preserve">1387 y 1393.1ª </w:t>
      </w:r>
      <w:r w:rsidR="00C71F23" w:rsidRPr="00EE25D1">
        <w:rPr>
          <w:rFonts w:ascii="Calibri" w:hAnsi="Calibri"/>
        </w:rPr>
        <w:t>del Código Civil</w:t>
      </w:r>
      <w:r w:rsidR="000B1F6C" w:rsidRPr="00EE25D1">
        <w:rPr>
          <w:rFonts w:ascii="Calibri" w:hAnsi="Calibri"/>
        </w:rPr>
        <w:t xml:space="preserve"> </w:t>
      </w:r>
      <w:r w:rsidRPr="00EE25D1">
        <w:rPr>
          <w:rFonts w:ascii="Calibri" w:hAnsi="Calibri"/>
        </w:rPr>
        <w:t xml:space="preserve">debe comprender </w:t>
      </w:r>
      <w:r w:rsidR="000B1F6C" w:rsidRPr="00EE25D1">
        <w:rPr>
          <w:rFonts w:ascii="Calibri" w:hAnsi="Calibri"/>
        </w:rPr>
        <w:t>los aspectos personales y patrimoniales del cónyuge o solamente estos últimos</w:t>
      </w:r>
      <w:r w:rsidR="00EE68F5" w:rsidRPr="00EE25D1">
        <w:rPr>
          <w:rStyle w:val="Refdenotaalpie"/>
          <w:rFonts w:ascii="Calibri" w:hAnsi="Calibri"/>
        </w:rPr>
        <w:footnoteReference w:id="53"/>
      </w:r>
      <w:r w:rsidR="00EE68F5" w:rsidRPr="00EE25D1">
        <w:rPr>
          <w:rFonts w:ascii="Calibri" w:hAnsi="Calibri"/>
        </w:rPr>
        <w:t>, d</w:t>
      </w:r>
      <w:r w:rsidR="000F05B9" w:rsidRPr="00EE25D1">
        <w:rPr>
          <w:rFonts w:ascii="Calibri" w:hAnsi="Calibri"/>
        </w:rPr>
        <w:t>a</w:t>
      </w:r>
      <w:r w:rsidR="008A2996" w:rsidRPr="00EE25D1">
        <w:rPr>
          <w:rFonts w:ascii="Calibri" w:hAnsi="Calibri"/>
        </w:rPr>
        <w:t>(</w:t>
      </w:r>
      <w:r w:rsidR="000F05B9" w:rsidRPr="00EE25D1">
        <w:rPr>
          <w:rFonts w:ascii="Calibri" w:hAnsi="Calibri"/>
        </w:rPr>
        <w:t xml:space="preserve">do que </w:t>
      </w:r>
      <w:r w:rsidR="00EE68F5" w:rsidRPr="00EE25D1">
        <w:rPr>
          <w:rFonts w:ascii="Calibri" w:hAnsi="Calibri"/>
        </w:rPr>
        <w:t xml:space="preserve">otros preceptos </w:t>
      </w:r>
      <w:r w:rsidR="000F05B9" w:rsidRPr="00EE25D1">
        <w:rPr>
          <w:rFonts w:ascii="Calibri" w:hAnsi="Calibri"/>
        </w:rPr>
        <w:t>especifican</w:t>
      </w:r>
      <w:r w:rsidR="00EE68F5" w:rsidRPr="00EE25D1">
        <w:rPr>
          <w:rFonts w:ascii="Calibri" w:hAnsi="Calibri"/>
        </w:rPr>
        <w:t xml:space="preserve"> la extensión de la representación</w:t>
      </w:r>
      <w:r w:rsidR="00FF660C" w:rsidRPr="00EE25D1">
        <w:rPr>
          <w:rStyle w:val="Refdenotaalpie"/>
          <w:rFonts w:ascii="Calibri" w:hAnsi="Calibri"/>
        </w:rPr>
        <w:footnoteReference w:id="54"/>
      </w:r>
      <w:r w:rsidR="000B1F6C" w:rsidRPr="00EE25D1">
        <w:rPr>
          <w:rFonts w:ascii="Calibri" w:hAnsi="Calibri"/>
        </w:rPr>
        <w:t xml:space="preserve">. </w:t>
      </w:r>
      <w:r w:rsidR="00C858D7" w:rsidRPr="00EE25D1">
        <w:rPr>
          <w:rFonts w:ascii="Calibri" w:hAnsi="Calibri"/>
        </w:rPr>
        <w:t xml:space="preserve">Parangonando los citados </w:t>
      </w:r>
      <w:r w:rsidR="000F05B9" w:rsidRPr="00EE25D1">
        <w:rPr>
          <w:rFonts w:ascii="Calibri" w:hAnsi="Calibri"/>
        </w:rPr>
        <w:t xml:space="preserve">artículos </w:t>
      </w:r>
      <w:r w:rsidR="000C0416" w:rsidRPr="00EE25D1">
        <w:rPr>
          <w:rFonts w:ascii="Calibri" w:hAnsi="Calibri"/>
        </w:rPr>
        <w:t>con el artículo</w:t>
      </w:r>
      <w:r w:rsidR="00C71F23" w:rsidRPr="00EE25D1">
        <w:rPr>
          <w:rFonts w:ascii="Calibri" w:hAnsi="Calibri"/>
        </w:rPr>
        <w:t xml:space="preserve"> 1700.5º del Código Civil</w:t>
      </w:r>
      <w:r w:rsidR="00C858D7" w:rsidRPr="00EE25D1">
        <w:rPr>
          <w:rFonts w:ascii="Calibri" w:hAnsi="Calibri"/>
        </w:rPr>
        <w:t xml:space="preserve">, se podría decir, </w:t>
      </w:r>
      <w:r w:rsidR="00C858D7" w:rsidRPr="00EE25D1">
        <w:rPr>
          <w:rFonts w:ascii="Calibri" w:hAnsi="Calibri"/>
          <w:i/>
        </w:rPr>
        <w:t>prima facie</w:t>
      </w:r>
      <w:r w:rsidR="00C858D7" w:rsidRPr="00EE25D1">
        <w:rPr>
          <w:rFonts w:ascii="Calibri" w:hAnsi="Calibri"/>
        </w:rPr>
        <w:t>, que</w:t>
      </w:r>
      <w:r w:rsidR="000F05B9" w:rsidRPr="00EE25D1">
        <w:rPr>
          <w:rFonts w:ascii="Calibri" w:hAnsi="Calibri"/>
        </w:rPr>
        <w:t xml:space="preserve"> la</w:t>
      </w:r>
      <w:r w:rsidR="00C858D7" w:rsidRPr="00EE25D1">
        <w:rPr>
          <w:rFonts w:ascii="Calibri" w:hAnsi="Calibri"/>
        </w:rPr>
        <w:t xml:space="preserve"> representación plena o general que permitiría al cónyuge gestionar unilateralmente los bienes o pedir la disolución judicial de la sociedad de gananciales sería aquella </w:t>
      </w:r>
      <w:r w:rsidR="000F05B9" w:rsidRPr="00EE25D1">
        <w:rPr>
          <w:rFonts w:ascii="Calibri" w:hAnsi="Calibri"/>
        </w:rPr>
        <w:t>que s</w:t>
      </w:r>
      <w:r w:rsidR="00E759E6" w:rsidRPr="00EE25D1">
        <w:rPr>
          <w:rFonts w:ascii="Calibri" w:hAnsi="Calibri"/>
        </w:rPr>
        <w:t>e extiende al ámbito personal y</w:t>
      </w:r>
      <w:r w:rsidR="000C0416" w:rsidRPr="00EE25D1">
        <w:rPr>
          <w:rFonts w:ascii="Calibri" w:hAnsi="Calibri"/>
        </w:rPr>
        <w:t xml:space="preserve"> patrimonial. El artículo</w:t>
      </w:r>
      <w:r w:rsidR="00C71F23" w:rsidRPr="00EE25D1">
        <w:rPr>
          <w:rFonts w:ascii="Calibri" w:hAnsi="Calibri"/>
        </w:rPr>
        <w:t xml:space="preserve"> 1700.5º</w:t>
      </w:r>
      <w:r w:rsidR="00C858D7" w:rsidRPr="00EE25D1">
        <w:rPr>
          <w:rFonts w:ascii="Calibri" w:hAnsi="Calibri"/>
        </w:rPr>
        <w:t xml:space="preserve"> establece que la sociedad constituida </w:t>
      </w:r>
      <w:r w:rsidR="009903DE" w:rsidRPr="00EE25D1">
        <w:rPr>
          <w:rFonts w:ascii="Calibri" w:hAnsi="Calibri"/>
        </w:rPr>
        <w:t>a raíz</w:t>
      </w:r>
      <w:r w:rsidR="00C858D7" w:rsidRPr="00EE25D1">
        <w:rPr>
          <w:rFonts w:ascii="Calibri" w:hAnsi="Calibri"/>
        </w:rPr>
        <w:t xml:space="preserve"> de un contrato se extingue, entre otras causas, cuando </w:t>
      </w:r>
      <w:r w:rsidR="00713CC7" w:rsidRPr="00EE25D1">
        <w:rPr>
          <w:rFonts w:ascii="Calibri" w:hAnsi="Calibri"/>
        </w:rPr>
        <w:t>“</w:t>
      </w:r>
      <w:r w:rsidR="00C858D7" w:rsidRPr="00EE25D1">
        <w:rPr>
          <w:rFonts w:ascii="Calibri" w:hAnsi="Calibri"/>
        </w:rPr>
        <w:t xml:space="preserve">respecto de algunos de los socios se hubieren dispuesto medidas de apoyo que impliquen facultades de </w:t>
      </w:r>
      <w:r w:rsidR="00855B67" w:rsidRPr="00EE25D1">
        <w:rPr>
          <w:rFonts w:ascii="Calibri" w:hAnsi="Calibri"/>
        </w:rPr>
        <w:t>re</w:t>
      </w:r>
      <w:r w:rsidR="00C858D7" w:rsidRPr="00EE25D1">
        <w:rPr>
          <w:rFonts w:ascii="Calibri" w:hAnsi="Calibri"/>
        </w:rPr>
        <w:t>presentación plena en la esfera patrimonial</w:t>
      </w:r>
      <w:r w:rsidR="00713CC7" w:rsidRPr="00EE25D1">
        <w:rPr>
          <w:rFonts w:ascii="Calibri" w:hAnsi="Calibri"/>
        </w:rPr>
        <w:t>”</w:t>
      </w:r>
      <w:r w:rsidR="00C858D7" w:rsidRPr="00EE25D1">
        <w:rPr>
          <w:rFonts w:ascii="Calibri" w:hAnsi="Calibri"/>
        </w:rPr>
        <w:t>. Podría llegarse a la conclusión, leyendo el aserto transcrito, que como quie</w:t>
      </w:r>
      <w:r w:rsidR="00B743E3" w:rsidRPr="00EE25D1">
        <w:rPr>
          <w:rFonts w:ascii="Calibri" w:hAnsi="Calibri"/>
        </w:rPr>
        <w:t>ra que el legislador no articula</w:t>
      </w:r>
      <w:r w:rsidR="00C858D7" w:rsidRPr="00EE25D1">
        <w:rPr>
          <w:rFonts w:ascii="Calibri" w:hAnsi="Calibri"/>
        </w:rPr>
        <w:t xml:space="preserve"> dicha matización en sede de sociedad de gananciales, la representación plena que activaría los artículos citados </w:t>
      </w:r>
      <w:r w:rsidR="00C858D7" w:rsidRPr="00EE25D1">
        <w:rPr>
          <w:rFonts w:ascii="Calibri" w:hAnsi="Calibri"/>
          <w:i/>
        </w:rPr>
        <w:t>ab initio</w:t>
      </w:r>
      <w:r w:rsidR="00C858D7" w:rsidRPr="00EE25D1">
        <w:rPr>
          <w:rFonts w:ascii="Calibri" w:hAnsi="Calibri"/>
        </w:rPr>
        <w:t xml:space="preserve"> de este párrafo sería aquella que va</w:t>
      </w:r>
      <w:r w:rsidR="009903DE" w:rsidRPr="00EE25D1">
        <w:rPr>
          <w:rFonts w:ascii="Calibri" w:hAnsi="Calibri"/>
        </w:rPr>
        <w:t>ya</w:t>
      </w:r>
      <w:r w:rsidR="00C858D7" w:rsidRPr="00EE25D1">
        <w:rPr>
          <w:rFonts w:ascii="Calibri" w:hAnsi="Calibri"/>
        </w:rPr>
        <w:t xml:space="preserve"> más allá de los aspectos puramente patrimoniales, pues de </w:t>
      </w:r>
      <w:r w:rsidR="00B743E3" w:rsidRPr="00EE25D1">
        <w:rPr>
          <w:rFonts w:ascii="Calibri" w:hAnsi="Calibri"/>
        </w:rPr>
        <w:t xml:space="preserve">querer limitarse a estos últimos habría hecho una previsión </w:t>
      </w:r>
      <w:r w:rsidR="00B743E3" w:rsidRPr="00EE25D1">
        <w:rPr>
          <w:rFonts w:ascii="Calibri" w:hAnsi="Calibri"/>
          <w:i/>
        </w:rPr>
        <w:t>ad hoc</w:t>
      </w:r>
      <w:r w:rsidR="00E759E6" w:rsidRPr="00EE25D1">
        <w:rPr>
          <w:rFonts w:ascii="Calibri" w:hAnsi="Calibri"/>
          <w:i/>
        </w:rPr>
        <w:t xml:space="preserve"> </w:t>
      </w:r>
      <w:r w:rsidR="000C0416" w:rsidRPr="00EE25D1">
        <w:rPr>
          <w:rFonts w:ascii="Calibri" w:hAnsi="Calibri"/>
        </w:rPr>
        <w:t>como la que alberga el artículo</w:t>
      </w:r>
      <w:r w:rsidR="00E759E6" w:rsidRPr="00EE25D1">
        <w:rPr>
          <w:rFonts w:ascii="Calibri" w:hAnsi="Calibri"/>
        </w:rPr>
        <w:t xml:space="preserve"> 1700.5º</w:t>
      </w:r>
      <w:r w:rsidR="00B743E3" w:rsidRPr="00EE25D1">
        <w:rPr>
          <w:rFonts w:ascii="Calibri" w:hAnsi="Calibri"/>
        </w:rPr>
        <w:t xml:space="preserve">. Sin embargo, descartando una interpretación </w:t>
      </w:r>
      <w:r w:rsidR="00B743E3" w:rsidRPr="00EE25D1">
        <w:rPr>
          <w:rFonts w:ascii="Calibri" w:hAnsi="Calibri"/>
          <w:i/>
        </w:rPr>
        <w:t>ad pedem litterae</w:t>
      </w:r>
      <w:r w:rsidR="00B743E3" w:rsidRPr="00EE25D1">
        <w:rPr>
          <w:rFonts w:ascii="Calibri" w:hAnsi="Calibri"/>
        </w:rPr>
        <w:t xml:space="preserve"> y sistemática y adhiriéndonos a una hermenéutica ligada a la lógica, apostamos, con Pereña Vicente, porque sería suficiente para acti</w:t>
      </w:r>
      <w:r w:rsidR="000C0416" w:rsidRPr="00EE25D1">
        <w:rPr>
          <w:rFonts w:ascii="Calibri" w:hAnsi="Calibri"/>
        </w:rPr>
        <w:t>var los artículos</w:t>
      </w:r>
      <w:r w:rsidR="00C71F23" w:rsidRPr="00EE25D1">
        <w:rPr>
          <w:rFonts w:ascii="Calibri" w:hAnsi="Calibri"/>
        </w:rPr>
        <w:t xml:space="preserve"> 1387 y 1393.1º </w:t>
      </w:r>
      <w:r w:rsidR="00B743E3" w:rsidRPr="00EE25D1">
        <w:rPr>
          <w:rFonts w:ascii="Calibri" w:hAnsi="Calibri"/>
        </w:rPr>
        <w:t>que la curatela con facultad</w:t>
      </w:r>
      <w:r w:rsidR="000F05B9" w:rsidRPr="00EE25D1">
        <w:rPr>
          <w:rFonts w:ascii="Calibri" w:hAnsi="Calibri"/>
        </w:rPr>
        <w:t>es</w:t>
      </w:r>
      <w:r w:rsidR="00045060" w:rsidRPr="00EE25D1">
        <w:rPr>
          <w:rFonts w:ascii="Calibri" w:hAnsi="Calibri"/>
        </w:rPr>
        <w:t xml:space="preserve"> de representación se</w:t>
      </w:r>
      <w:r w:rsidR="00855B67" w:rsidRPr="00EE25D1">
        <w:rPr>
          <w:rFonts w:ascii="Calibri" w:hAnsi="Calibri"/>
        </w:rPr>
        <w:t xml:space="preserve"> extienda</w:t>
      </w:r>
      <w:r w:rsidR="00B743E3" w:rsidRPr="00EE25D1">
        <w:rPr>
          <w:rFonts w:ascii="Calibri" w:hAnsi="Calibri"/>
        </w:rPr>
        <w:t xml:space="preserve"> a todos los actos y negocios de naturaleza patrimonial</w:t>
      </w:r>
      <w:r w:rsidR="00B743E3" w:rsidRPr="00EE25D1">
        <w:rPr>
          <w:rStyle w:val="Refdenotaalpie"/>
          <w:rFonts w:ascii="Calibri" w:hAnsi="Calibri"/>
        </w:rPr>
        <w:footnoteReference w:id="55"/>
      </w:r>
      <w:r w:rsidR="00B743E3" w:rsidRPr="00EE25D1">
        <w:rPr>
          <w:rFonts w:ascii="Calibri" w:hAnsi="Calibri"/>
        </w:rPr>
        <w:t>, salvo</w:t>
      </w:r>
      <w:r w:rsidR="000C0416" w:rsidRPr="00EE25D1">
        <w:rPr>
          <w:rFonts w:ascii="Calibri" w:hAnsi="Calibri"/>
        </w:rPr>
        <w:t xml:space="preserve"> los previstos en el artículo</w:t>
      </w:r>
      <w:r w:rsidR="00C71F23" w:rsidRPr="00EE25D1">
        <w:rPr>
          <w:rFonts w:ascii="Calibri" w:hAnsi="Calibri"/>
        </w:rPr>
        <w:t xml:space="preserve"> 287</w:t>
      </w:r>
      <w:r w:rsidR="00B743E3" w:rsidRPr="00EE25D1">
        <w:rPr>
          <w:rFonts w:ascii="Calibri" w:hAnsi="Calibri"/>
        </w:rPr>
        <w:t>, dada cuenta que</w:t>
      </w:r>
      <w:r w:rsidR="000F05B9" w:rsidRPr="00EE25D1">
        <w:rPr>
          <w:rFonts w:ascii="Calibri" w:hAnsi="Calibri"/>
        </w:rPr>
        <w:t xml:space="preserve"> tanto</w:t>
      </w:r>
      <w:r w:rsidR="00B743E3" w:rsidRPr="00EE25D1">
        <w:rPr>
          <w:rFonts w:ascii="Calibri" w:hAnsi="Calibri"/>
        </w:rPr>
        <w:t xml:space="preserve"> la gestión de los bienes comunes</w:t>
      </w:r>
      <w:r w:rsidR="000F05B9" w:rsidRPr="00EE25D1">
        <w:rPr>
          <w:rFonts w:ascii="Calibri" w:hAnsi="Calibri"/>
        </w:rPr>
        <w:t xml:space="preserve">, como la disolución de la sociedad de gananciales </w:t>
      </w:r>
      <w:r w:rsidR="00855B67" w:rsidRPr="00EE25D1">
        <w:rPr>
          <w:rFonts w:ascii="Calibri" w:hAnsi="Calibri"/>
        </w:rPr>
        <w:t>constituyen</w:t>
      </w:r>
      <w:r w:rsidR="000F05B9" w:rsidRPr="00EE25D1">
        <w:rPr>
          <w:rFonts w:ascii="Calibri" w:hAnsi="Calibri"/>
        </w:rPr>
        <w:t xml:space="preserve"> aspectos</w:t>
      </w:r>
      <w:r w:rsidR="00B743E3" w:rsidRPr="00EE25D1">
        <w:rPr>
          <w:rFonts w:ascii="Calibri" w:hAnsi="Calibri"/>
        </w:rPr>
        <w:t xml:space="preserve"> estrictamente patrimonial</w:t>
      </w:r>
      <w:r w:rsidR="000F05B9" w:rsidRPr="00EE25D1">
        <w:rPr>
          <w:rFonts w:ascii="Calibri" w:hAnsi="Calibri"/>
        </w:rPr>
        <w:t>es</w:t>
      </w:r>
      <w:r w:rsidR="00E759E6" w:rsidRPr="00EE25D1">
        <w:rPr>
          <w:rStyle w:val="Refdenotaalpie"/>
          <w:rFonts w:ascii="Calibri" w:hAnsi="Calibri"/>
        </w:rPr>
        <w:footnoteReference w:id="56"/>
      </w:r>
      <w:r w:rsidR="00E759E6" w:rsidRPr="00EE25D1">
        <w:rPr>
          <w:rFonts w:ascii="Calibri" w:hAnsi="Calibri"/>
        </w:rPr>
        <w:t>.</w:t>
      </w:r>
    </w:p>
    <w:p w:rsidR="00022A91" w:rsidRPr="00EE25D1" w:rsidRDefault="00A91C27" w:rsidP="00D44BF1">
      <w:pPr>
        <w:tabs>
          <w:tab w:val="left" w:pos="8505"/>
        </w:tabs>
        <w:spacing w:before="100" w:beforeAutospacing="1" w:after="100" w:afterAutospacing="1"/>
        <w:rPr>
          <w:rFonts w:ascii="Calibri" w:hAnsi="Calibri"/>
          <w:b/>
          <w:i/>
        </w:rPr>
      </w:pPr>
      <w:r w:rsidRPr="00EE25D1">
        <w:rPr>
          <w:rFonts w:ascii="Calibri" w:hAnsi="Calibri"/>
          <w:b/>
          <w:i/>
        </w:rPr>
        <w:t>4.</w:t>
      </w:r>
      <w:r w:rsidR="000F05B9" w:rsidRPr="00EE25D1">
        <w:rPr>
          <w:rFonts w:ascii="Calibri" w:hAnsi="Calibri"/>
          <w:b/>
          <w:i/>
        </w:rPr>
        <w:t>2. ¿Los artículos</w:t>
      </w:r>
      <w:r w:rsidR="006705C5" w:rsidRPr="00EE25D1">
        <w:rPr>
          <w:rFonts w:ascii="Calibri" w:hAnsi="Calibri"/>
          <w:b/>
          <w:i/>
        </w:rPr>
        <w:t xml:space="preserve"> 1387 y 1393.1º del Código Civil</w:t>
      </w:r>
      <w:r w:rsidR="00225A12" w:rsidRPr="00EE25D1">
        <w:rPr>
          <w:rFonts w:ascii="Calibri" w:hAnsi="Calibri"/>
          <w:b/>
          <w:i/>
        </w:rPr>
        <w:t xml:space="preserve"> excluye</w:t>
      </w:r>
      <w:r w:rsidR="001B00F2" w:rsidRPr="00EE25D1">
        <w:rPr>
          <w:rFonts w:ascii="Calibri" w:hAnsi="Calibri"/>
          <w:b/>
          <w:i/>
        </w:rPr>
        <w:t>n</w:t>
      </w:r>
      <w:r w:rsidR="00225A12" w:rsidRPr="00EE25D1">
        <w:rPr>
          <w:rFonts w:ascii="Calibri" w:hAnsi="Calibri"/>
          <w:b/>
          <w:i/>
        </w:rPr>
        <w:t xml:space="preserve"> del supuesto de hecho la provisión d</w:t>
      </w:r>
      <w:r w:rsidR="00C8552A" w:rsidRPr="00EE25D1">
        <w:rPr>
          <w:rFonts w:ascii="Calibri" w:hAnsi="Calibri"/>
          <w:b/>
          <w:i/>
        </w:rPr>
        <w:t>e apoyo con facultades de representación a través de una guarda de hecho</w:t>
      </w:r>
      <w:r w:rsidR="00225A12" w:rsidRPr="00EE25D1">
        <w:rPr>
          <w:rFonts w:ascii="Calibri" w:hAnsi="Calibri"/>
          <w:b/>
          <w:i/>
        </w:rPr>
        <w:t>?</w:t>
      </w:r>
    </w:p>
    <w:p w:rsidR="00DB4161" w:rsidRPr="00EE25D1" w:rsidRDefault="00DB4161"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Tal y com</w:t>
      </w:r>
      <w:r w:rsidR="005051BC" w:rsidRPr="00EE25D1">
        <w:rPr>
          <w:rFonts w:ascii="Calibri" w:hAnsi="Calibri"/>
          <w:color w:val="000000" w:themeColor="text1"/>
          <w:shd w:val="clear" w:color="auto" w:fill="FFFFFF"/>
        </w:rPr>
        <w:t>o se colige de los artículos</w:t>
      </w:r>
      <w:r w:rsidR="00C71F23" w:rsidRPr="00EE25D1">
        <w:rPr>
          <w:rFonts w:ascii="Calibri" w:hAnsi="Calibri"/>
          <w:color w:val="000000" w:themeColor="text1"/>
          <w:shd w:val="clear" w:color="auto" w:fill="FFFFFF"/>
        </w:rPr>
        <w:t xml:space="preserve"> 1387  y 1393.1º </w:t>
      </w:r>
      <w:r w:rsidR="00C71F23" w:rsidRPr="00EE25D1">
        <w:rPr>
          <w:rFonts w:ascii="Calibri" w:hAnsi="Calibri"/>
        </w:rPr>
        <w:t>del Código Civil</w:t>
      </w:r>
      <w:r w:rsidRPr="00EE25D1">
        <w:rPr>
          <w:rFonts w:ascii="Calibri" w:hAnsi="Calibri"/>
          <w:color w:val="000000" w:themeColor="text1"/>
          <w:shd w:val="clear" w:color="auto" w:fill="FFFFFF"/>
        </w:rPr>
        <w:t xml:space="preserve">, el cónyuge que sea nombrado curador de su consorte con facultades de representación plena tendrá dos opciones </w:t>
      </w:r>
      <w:r w:rsidR="001B00F2" w:rsidRPr="00EE25D1">
        <w:rPr>
          <w:rFonts w:ascii="Calibri" w:hAnsi="Calibri"/>
          <w:color w:val="000000" w:themeColor="text1"/>
          <w:shd w:val="clear" w:color="auto" w:fill="FFFFFF"/>
        </w:rPr>
        <w:t xml:space="preserve">en la futura singladura </w:t>
      </w:r>
      <w:r w:rsidRPr="00EE25D1">
        <w:rPr>
          <w:rFonts w:ascii="Calibri" w:hAnsi="Calibri"/>
          <w:color w:val="000000" w:themeColor="text1"/>
          <w:shd w:val="clear" w:color="auto" w:fill="FFFFFF"/>
        </w:rPr>
        <w:t>de</w:t>
      </w:r>
      <w:r w:rsidR="00045060" w:rsidRPr="00EE25D1">
        <w:rPr>
          <w:rFonts w:ascii="Calibri" w:hAnsi="Calibri"/>
          <w:color w:val="000000" w:themeColor="text1"/>
          <w:shd w:val="clear" w:color="auto" w:fill="FFFFFF"/>
        </w:rPr>
        <w:t xml:space="preserve"> la sociedad de gananciales: g</w:t>
      </w:r>
      <w:r w:rsidR="001B6A4B" w:rsidRPr="00EE25D1">
        <w:rPr>
          <w:rFonts w:ascii="Calibri" w:hAnsi="Calibri"/>
          <w:color w:val="000000" w:themeColor="text1"/>
          <w:shd w:val="clear" w:color="auto" w:fill="FFFFFF"/>
        </w:rPr>
        <w:t xml:space="preserve">estionar los bienes </w:t>
      </w:r>
      <w:r w:rsidR="00F74126" w:rsidRPr="00EE25D1">
        <w:rPr>
          <w:rFonts w:ascii="Calibri" w:hAnsi="Calibri"/>
          <w:color w:val="000000" w:themeColor="text1"/>
          <w:shd w:val="clear" w:color="auto" w:fill="FFFFFF"/>
        </w:rPr>
        <w:t>comunes, pudiendo administrar y</w:t>
      </w:r>
      <w:r w:rsidR="001B6A4B" w:rsidRPr="00EE25D1">
        <w:rPr>
          <w:rFonts w:ascii="Calibri" w:hAnsi="Calibri"/>
          <w:color w:val="000000" w:themeColor="text1"/>
          <w:shd w:val="clear" w:color="auto" w:fill="FFFFFF"/>
        </w:rPr>
        <w:t xml:space="preserve"> disponer de ellos, o pedir en el Juzgado la disolución </w:t>
      </w:r>
      <w:r w:rsidR="00855B67" w:rsidRPr="00EE25D1">
        <w:rPr>
          <w:rFonts w:ascii="Calibri" w:hAnsi="Calibri"/>
          <w:color w:val="000000" w:themeColor="text1"/>
          <w:shd w:val="clear" w:color="auto" w:fill="FFFFFF"/>
        </w:rPr>
        <w:t>de la sociedad conyugal</w:t>
      </w:r>
      <w:r w:rsidR="001B6A4B" w:rsidRPr="00EE25D1">
        <w:rPr>
          <w:rFonts w:ascii="Calibri" w:hAnsi="Calibri"/>
          <w:color w:val="000000" w:themeColor="text1"/>
          <w:shd w:val="clear" w:color="auto" w:fill="FFFFFF"/>
        </w:rPr>
        <w:t>. Si respecto al cónyuge</w:t>
      </w:r>
      <w:r w:rsidR="00855B67" w:rsidRPr="00EE25D1">
        <w:rPr>
          <w:rFonts w:ascii="Calibri" w:hAnsi="Calibri"/>
          <w:color w:val="000000" w:themeColor="text1"/>
          <w:shd w:val="clear" w:color="auto" w:fill="FFFFFF"/>
        </w:rPr>
        <w:t xml:space="preserve"> con discapacidad se hubieren dispuesto</w:t>
      </w:r>
      <w:r w:rsidR="001B6A4B" w:rsidRPr="00EE25D1">
        <w:rPr>
          <w:rFonts w:ascii="Calibri" w:hAnsi="Calibri"/>
          <w:color w:val="000000" w:themeColor="text1"/>
          <w:shd w:val="clear" w:color="auto" w:fill="FFFFFF"/>
        </w:rPr>
        <w:t xml:space="preserve"> medidas de apoyo con facultades de representación plena y este apoyo no lo </w:t>
      </w:r>
      <w:r w:rsidR="001B00F2" w:rsidRPr="00EE25D1">
        <w:rPr>
          <w:rFonts w:ascii="Calibri" w:hAnsi="Calibri"/>
          <w:color w:val="000000" w:themeColor="text1"/>
          <w:shd w:val="clear" w:color="auto" w:fill="FFFFFF"/>
        </w:rPr>
        <w:t>dispensa</w:t>
      </w:r>
      <w:r w:rsidR="00213EBB" w:rsidRPr="00EE25D1">
        <w:rPr>
          <w:rFonts w:ascii="Calibri" w:hAnsi="Calibri"/>
          <w:color w:val="000000" w:themeColor="text1"/>
          <w:shd w:val="clear" w:color="auto" w:fill="FFFFFF"/>
        </w:rPr>
        <w:t>re</w:t>
      </w:r>
      <w:r w:rsidR="001B6A4B" w:rsidRPr="00EE25D1">
        <w:rPr>
          <w:rFonts w:ascii="Calibri" w:hAnsi="Calibri"/>
          <w:color w:val="000000" w:themeColor="text1"/>
          <w:shd w:val="clear" w:color="auto" w:fill="FFFFFF"/>
        </w:rPr>
        <w:t xml:space="preserve"> el consorte, este podrá solicitar, única y exclusivamente, la disolución judicial de la sociedad, sin que pueda gestionar unilateralmente los bienes comunes</w:t>
      </w:r>
      <w:r w:rsidR="001B6A4B" w:rsidRPr="00EE25D1">
        <w:rPr>
          <w:rStyle w:val="Refdenotaalpie"/>
          <w:rFonts w:ascii="Calibri" w:hAnsi="Calibri"/>
          <w:color w:val="000000" w:themeColor="text1"/>
          <w:shd w:val="clear" w:color="auto" w:fill="FFFFFF"/>
        </w:rPr>
        <w:footnoteReference w:id="57"/>
      </w:r>
      <w:r w:rsidR="001B6A4B" w:rsidRPr="00EE25D1">
        <w:rPr>
          <w:rFonts w:ascii="Calibri" w:hAnsi="Calibri"/>
          <w:color w:val="000000" w:themeColor="text1"/>
          <w:shd w:val="clear" w:color="auto" w:fill="FFFFFF"/>
        </w:rPr>
        <w:t xml:space="preserve">. </w:t>
      </w:r>
    </w:p>
    <w:p w:rsidR="003F7DCD" w:rsidRPr="00EE25D1" w:rsidRDefault="003F7DCD"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El problema es que el legislador, pese a reconocer en la Ex</w:t>
      </w:r>
      <w:r w:rsidR="00713133" w:rsidRPr="00EE25D1">
        <w:rPr>
          <w:rFonts w:ascii="Calibri" w:hAnsi="Calibri"/>
          <w:color w:val="000000" w:themeColor="text1"/>
          <w:shd w:val="clear" w:color="auto" w:fill="FFFFFF"/>
        </w:rPr>
        <w:t>posición de Motivos de la LAPCD</w:t>
      </w:r>
      <w:r w:rsidRPr="00EE25D1">
        <w:rPr>
          <w:rFonts w:ascii="Calibri" w:hAnsi="Calibri"/>
          <w:color w:val="000000" w:themeColor="text1"/>
          <w:shd w:val="clear" w:color="auto" w:fill="FFFFFF"/>
        </w:rPr>
        <w:t xml:space="preserve"> que la guarda de hecho es una institución jurídica de apoyo y que puede </w:t>
      </w:r>
      <w:r w:rsidR="0018566D" w:rsidRPr="00EE25D1">
        <w:rPr>
          <w:rFonts w:ascii="Calibri" w:hAnsi="Calibri"/>
          <w:color w:val="000000" w:themeColor="text1"/>
          <w:shd w:val="clear" w:color="auto" w:fill="FFFFFF"/>
        </w:rPr>
        <w:t xml:space="preserve">ser </w:t>
      </w:r>
      <w:r w:rsidRPr="00EE25D1">
        <w:rPr>
          <w:rFonts w:ascii="Calibri" w:hAnsi="Calibri"/>
          <w:color w:val="000000" w:themeColor="text1"/>
          <w:shd w:val="clear" w:color="auto" w:fill="FFFFFF"/>
        </w:rPr>
        <w:t xml:space="preserve">permanente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cuando se manifiesta como suficiente y adecuada para la salvaguarda de los derechos </w:t>
      </w:r>
      <w:r w:rsidR="00D05B46" w:rsidRPr="00EE25D1">
        <w:rPr>
          <w:rFonts w:ascii="Calibri" w:hAnsi="Calibri"/>
          <w:color w:val="000000" w:themeColor="text1"/>
          <w:shd w:val="clear" w:color="auto" w:fill="FFFFFF"/>
        </w:rPr>
        <w:t>de las personas con discapacidad</w:t>
      </w:r>
      <w:r w:rsidR="00713CC7" w:rsidRPr="00EE25D1">
        <w:rPr>
          <w:rFonts w:ascii="Calibri" w:hAnsi="Calibri"/>
          <w:color w:val="000000" w:themeColor="text1"/>
          <w:shd w:val="clear" w:color="auto" w:fill="FFFFFF"/>
        </w:rPr>
        <w:t>”</w:t>
      </w:r>
      <w:r w:rsidR="00D05B46" w:rsidRPr="00EE25D1">
        <w:rPr>
          <w:rFonts w:ascii="Calibri" w:hAnsi="Calibri"/>
          <w:color w:val="000000" w:themeColor="text1"/>
          <w:shd w:val="clear" w:color="auto" w:fill="FFFFFF"/>
        </w:rPr>
        <w:t>, la m</w:t>
      </w:r>
      <w:r w:rsidR="005051BC" w:rsidRPr="00EE25D1">
        <w:rPr>
          <w:rFonts w:ascii="Calibri" w:hAnsi="Calibri"/>
          <w:color w:val="000000" w:themeColor="text1"/>
          <w:shd w:val="clear" w:color="auto" w:fill="FFFFFF"/>
        </w:rPr>
        <w:t>argina en el ámbito de los artículos</w:t>
      </w:r>
      <w:r w:rsidR="00D05B46" w:rsidRPr="00EE25D1">
        <w:rPr>
          <w:rFonts w:ascii="Calibri" w:hAnsi="Calibri"/>
          <w:color w:val="000000" w:themeColor="text1"/>
          <w:shd w:val="clear" w:color="auto" w:fill="FFFFFF"/>
        </w:rPr>
        <w:t xml:space="preserve"> 1387 y 1393.1º, </w:t>
      </w:r>
      <w:r w:rsidR="00713133" w:rsidRPr="00EE25D1">
        <w:rPr>
          <w:rFonts w:ascii="Calibri" w:hAnsi="Calibri"/>
          <w:color w:val="000000" w:themeColor="text1"/>
          <w:shd w:val="clear" w:color="auto" w:fill="FFFFFF"/>
        </w:rPr>
        <w:t xml:space="preserve">no contemplando, en el primer </w:t>
      </w:r>
      <w:r w:rsidR="00D05B46" w:rsidRPr="00EE25D1">
        <w:rPr>
          <w:rFonts w:ascii="Calibri" w:hAnsi="Calibri"/>
          <w:color w:val="000000" w:themeColor="text1"/>
          <w:shd w:val="clear" w:color="auto" w:fill="FFFFFF"/>
        </w:rPr>
        <w:t>pr</w:t>
      </w:r>
      <w:r w:rsidR="00045060" w:rsidRPr="00EE25D1">
        <w:rPr>
          <w:rFonts w:ascii="Calibri" w:hAnsi="Calibri"/>
          <w:color w:val="000000" w:themeColor="text1"/>
          <w:shd w:val="clear" w:color="auto" w:fill="FFFFFF"/>
        </w:rPr>
        <w:t>ecepto</w:t>
      </w:r>
      <w:r w:rsidR="00213EBB" w:rsidRPr="00EE25D1">
        <w:rPr>
          <w:rFonts w:ascii="Calibri" w:hAnsi="Calibri"/>
          <w:color w:val="000000" w:themeColor="text1"/>
          <w:shd w:val="clear" w:color="auto" w:fill="FFFFFF"/>
        </w:rPr>
        <w:t xml:space="preserve">, </w:t>
      </w:r>
      <w:r w:rsidR="00D05B46" w:rsidRPr="00EE25D1">
        <w:rPr>
          <w:rFonts w:ascii="Calibri" w:hAnsi="Calibri"/>
          <w:color w:val="000000" w:themeColor="text1"/>
          <w:shd w:val="clear" w:color="auto" w:fill="FFFFFF"/>
        </w:rPr>
        <w:t>que el cónyuge que ostente la guarda de hecho de su consorte con facultades de representación tendrá, por ministerio de la ley, la administración y dis</w:t>
      </w:r>
      <w:r w:rsidR="0018566D" w:rsidRPr="00EE25D1">
        <w:rPr>
          <w:rFonts w:ascii="Calibri" w:hAnsi="Calibri"/>
          <w:color w:val="000000" w:themeColor="text1"/>
          <w:shd w:val="clear" w:color="auto" w:fill="FFFFFF"/>
        </w:rPr>
        <w:t>posición</w:t>
      </w:r>
      <w:r w:rsidR="00D05B46" w:rsidRPr="00EE25D1">
        <w:rPr>
          <w:rFonts w:ascii="Calibri" w:hAnsi="Calibri"/>
          <w:color w:val="000000" w:themeColor="text1"/>
          <w:shd w:val="clear" w:color="auto" w:fill="FFFFFF"/>
        </w:rPr>
        <w:t xml:space="preserve"> de </w:t>
      </w:r>
      <w:r w:rsidR="0018566D" w:rsidRPr="00EE25D1">
        <w:rPr>
          <w:rFonts w:ascii="Calibri" w:hAnsi="Calibri"/>
          <w:color w:val="000000" w:themeColor="text1"/>
          <w:shd w:val="clear" w:color="auto" w:fill="FFFFFF"/>
        </w:rPr>
        <w:t>los bienes gananciales</w:t>
      </w:r>
      <w:r w:rsidR="00D05B46" w:rsidRPr="00EE25D1">
        <w:rPr>
          <w:rFonts w:ascii="Calibri" w:hAnsi="Calibri"/>
          <w:color w:val="000000" w:themeColor="text1"/>
          <w:shd w:val="clear" w:color="auto" w:fill="FFFFFF"/>
        </w:rPr>
        <w:t>,</w:t>
      </w:r>
      <w:r w:rsidR="00213EBB" w:rsidRPr="00EE25D1">
        <w:rPr>
          <w:rFonts w:ascii="Calibri" w:hAnsi="Calibri"/>
          <w:color w:val="000000" w:themeColor="text1"/>
          <w:shd w:val="clear" w:color="auto" w:fill="FFFFFF"/>
        </w:rPr>
        <w:t xml:space="preserve"> y, en el segundo, omitiendo</w:t>
      </w:r>
      <w:r w:rsidR="00D05B46" w:rsidRPr="00EE25D1">
        <w:rPr>
          <w:rFonts w:ascii="Calibri" w:hAnsi="Calibri"/>
          <w:color w:val="000000" w:themeColor="text1"/>
          <w:shd w:val="clear" w:color="auto" w:fill="FFFFFF"/>
        </w:rPr>
        <w:t xml:space="preserve"> igualmente que si el cónyuge estuviese bajo una guarda de hecho y esta comprendiese facultades de r</w:t>
      </w:r>
      <w:r w:rsidR="000F05B9" w:rsidRPr="00EE25D1">
        <w:rPr>
          <w:rFonts w:ascii="Calibri" w:hAnsi="Calibri"/>
          <w:color w:val="000000" w:themeColor="text1"/>
          <w:shd w:val="clear" w:color="auto" w:fill="FFFFFF"/>
        </w:rPr>
        <w:t>epresentación</w:t>
      </w:r>
      <w:r w:rsidR="00213EBB" w:rsidRPr="00EE25D1">
        <w:rPr>
          <w:rFonts w:ascii="Calibri" w:hAnsi="Calibri"/>
          <w:color w:val="000000" w:themeColor="text1"/>
          <w:shd w:val="clear" w:color="auto" w:fill="FFFFFF"/>
        </w:rPr>
        <w:t>,</w:t>
      </w:r>
      <w:r w:rsidR="000F05B9" w:rsidRPr="00EE25D1">
        <w:rPr>
          <w:rFonts w:ascii="Calibri" w:hAnsi="Calibri"/>
          <w:color w:val="000000" w:themeColor="text1"/>
          <w:shd w:val="clear" w:color="auto" w:fill="FFFFFF"/>
        </w:rPr>
        <w:t xml:space="preserve"> el consorte podrá</w:t>
      </w:r>
      <w:r w:rsidR="00D05B46" w:rsidRPr="00EE25D1">
        <w:rPr>
          <w:rFonts w:ascii="Calibri" w:hAnsi="Calibri"/>
          <w:color w:val="000000" w:themeColor="text1"/>
          <w:shd w:val="clear" w:color="auto" w:fill="FFFFFF"/>
        </w:rPr>
        <w:t xml:space="preserve"> pedir la disolución judicial de la sociedad, con independencia, en este último caso, de la </w:t>
      </w:r>
      <w:r w:rsidR="0018566D" w:rsidRPr="00EE25D1">
        <w:rPr>
          <w:rFonts w:ascii="Calibri" w:hAnsi="Calibri"/>
          <w:color w:val="000000" w:themeColor="text1"/>
          <w:shd w:val="clear" w:color="auto" w:fill="FFFFFF"/>
        </w:rPr>
        <w:t>persona que dispense el apoyo informal.</w:t>
      </w:r>
      <w:r w:rsidR="001B00F2" w:rsidRPr="00EE25D1">
        <w:rPr>
          <w:rFonts w:ascii="Calibri" w:hAnsi="Calibri"/>
          <w:color w:val="000000" w:themeColor="text1"/>
          <w:shd w:val="clear" w:color="auto" w:fill="FFFFFF"/>
        </w:rPr>
        <w:t xml:space="preserve"> </w:t>
      </w:r>
    </w:p>
    <w:p w:rsidR="001B00F2" w:rsidRPr="00EE25D1" w:rsidRDefault="00C17697"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Pero cabe plantearse, a los efectos dialécticos, lo siguiente: ¿Qué ocurriría, en el ámbit</w:t>
      </w:r>
      <w:r w:rsidR="005051BC" w:rsidRPr="00EE25D1">
        <w:rPr>
          <w:rFonts w:ascii="Calibri" w:hAnsi="Calibri"/>
          <w:color w:val="000000" w:themeColor="text1"/>
          <w:shd w:val="clear" w:color="auto" w:fill="FFFFFF"/>
        </w:rPr>
        <w:t>o de los artículos</w:t>
      </w:r>
      <w:r w:rsidR="00C71F23" w:rsidRPr="00EE25D1">
        <w:rPr>
          <w:rFonts w:ascii="Calibri" w:hAnsi="Calibri"/>
          <w:color w:val="000000" w:themeColor="text1"/>
          <w:shd w:val="clear" w:color="auto" w:fill="FFFFFF"/>
        </w:rPr>
        <w:t xml:space="preserve"> 1387 y 1393.1º</w:t>
      </w:r>
      <w:r w:rsidRPr="00EE25D1">
        <w:rPr>
          <w:rFonts w:ascii="Calibri" w:hAnsi="Calibri"/>
          <w:color w:val="000000" w:themeColor="text1"/>
          <w:shd w:val="clear" w:color="auto" w:fill="FFFFFF"/>
        </w:rPr>
        <w:t xml:space="preserve">, si el cónyuge tiene la guarda de hecho de su consorte, dando aquel, de manera informal, el apoyo que precisa, abarcando la guarda incluso facultades de representación </w:t>
      </w:r>
      <w:r w:rsidRPr="00EE25D1">
        <w:rPr>
          <w:rFonts w:ascii="Calibri" w:hAnsi="Calibri"/>
          <w:i/>
          <w:color w:val="000000" w:themeColor="text1"/>
          <w:shd w:val="clear" w:color="auto" w:fill="FFFFFF"/>
        </w:rPr>
        <w:t>ex</w:t>
      </w:r>
      <w:r w:rsidR="000C0416" w:rsidRPr="00EE25D1">
        <w:rPr>
          <w:rFonts w:ascii="Calibri" w:hAnsi="Calibri"/>
          <w:color w:val="000000" w:themeColor="text1"/>
          <w:shd w:val="clear" w:color="auto" w:fill="FFFFFF"/>
        </w:rPr>
        <w:t xml:space="preserve">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264</w:t>
      </w:r>
      <w:r w:rsidRPr="00EE25D1">
        <w:rPr>
          <w:rFonts w:ascii="Calibri" w:hAnsi="Calibri"/>
          <w:color w:val="000000" w:themeColor="text1"/>
          <w:shd w:val="clear" w:color="auto" w:fill="FFFFFF"/>
        </w:rPr>
        <w:t xml:space="preserve">? </w:t>
      </w:r>
      <w:r w:rsidR="00F74126" w:rsidRPr="00EE25D1">
        <w:rPr>
          <w:rFonts w:ascii="Calibri" w:hAnsi="Calibri"/>
          <w:color w:val="000000" w:themeColor="text1"/>
          <w:shd w:val="clear" w:color="auto" w:fill="FFFFFF"/>
        </w:rPr>
        <w:t xml:space="preserve">Una lectura literal de los meritados artículos conduciría a sostener, apodícticamente, que el cónyuge no tendría </w:t>
      </w:r>
      <w:r w:rsidR="00F74126" w:rsidRPr="00EE25D1">
        <w:rPr>
          <w:rFonts w:ascii="Calibri" w:hAnsi="Calibri"/>
          <w:i/>
          <w:color w:val="000000" w:themeColor="text1"/>
          <w:shd w:val="clear" w:color="auto" w:fill="FFFFFF"/>
        </w:rPr>
        <w:t>ope legis</w:t>
      </w:r>
      <w:r w:rsidR="00F74126" w:rsidRPr="00EE25D1">
        <w:rPr>
          <w:rFonts w:ascii="Calibri" w:hAnsi="Calibri"/>
          <w:color w:val="000000" w:themeColor="text1"/>
          <w:shd w:val="clear" w:color="auto" w:fill="FFFFFF"/>
        </w:rPr>
        <w:t xml:space="preserve"> la gestión de los bienes comunes, teniendo que solicitar judicialmente la administración de los bienes </w:t>
      </w:r>
      <w:r w:rsidR="00F74126" w:rsidRPr="00EE25D1">
        <w:rPr>
          <w:rFonts w:ascii="Calibri" w:hAnsi="Calibri"/>
          <w:i/>
          <w:color w:val="000000" w:themeColor="text1"/>
          <w:shd w:val="clear" w:color="auto" w:fill="FFFFFF"/>
        </w:rPr>
        <w:t>ex</w:t>
      </w:r>
      <w:r w:rsidR="000C0416" w:rsidRPr="00EE25D1">
        <w:rPr>
          <w:rFonts w:ascii="Calibri" w:hAnsi="Calibri"/>
          <w:color w:val="000000" w:themeColor="text1"/>
          <w:shd w:val="clear" w:color="auto" w:fill="FFFFFF"/>
        </w:rPr>
        <w:t xml:space="preserve">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1388 </w:t>
      </w:r>
      <w:r w:rsidR="00C71F23" w:rsidRPr="00EE25D1">
        <w:rPr>
          <w:rFonts w:ascii="Calibri" w:hAnsi="Calibri"/>
        </w:rPr>
        <w:t>del Código Civil</w:t>
      </w:r>
      <w:r w:rsidR="00F74126" w:rsidRPr="00EE25D1">
        <w:rPr>
          <w:rFonts w:ascii="Calibri" w:hAnsi="Calibri"/>
          <w:color w:val="000000" w:themeColor="text1"/>
          <w:shd w:val="clear" w:color="auto" w:fill="FFFFFF"/>
        </w:rPr>
        <w:t xml:space="preserve">, no debiéndose extender la concesión judicial a la disposición, toda vez que el </w:t>
      </w:r>
      <w:r w:rsidR="000F05B9" w:rsidRPr="00EE25D1">
        <w:rPr>
          <w:rFonts w:ascii="Calibri" w:hAnsi="Calibri"/>
          <w:color w:val="000000" w:themeColor="text1"/>
          <w:shd w:val="clear" w:color="auto" w:fill="FFFFFF"/>
        </w:rPr>
        <w:t>precepto</w:t>
      </w:r>
      <w:r w:rsidR="00F74126" w:rsidRPr="00EE25D1">
        <w:rPr>
          <w:rFonts w:ascii="Calibri" w:hAnsi="Calibri"/>
          <w:color w:val="000000" w:themeColor="text1"/>
          <w:shd w:val="clear" w:color="auto" w:fill="FFFFFF"/>
        </w:rPr>
        <w:t xml:space="preserve"> solo menciona </w:t>
      </w:r>
      <w:r w:rsidR="00213EBB" w:rsidRPr="00EE25D1">
        <w:rPr>
          <w:rFonts w:ascii="Calibri" w:hAnsi="Calibri"/>
          <w:color w:val="000000" w:themeColor="text1"/>
          <w:shd w:val="clear" w:color="auto" w:fill="FFFFFF"/>
        </w:rPr>
        <w:t xml:space="preserve">los </w:t>
      </w:r>
      <w:r w:rsidR="00F74126" w:rsidRPr="00EE25D1">
        <w:rPr>
          <w:rFonts w:ascii="Calibri" w:hAnsi="Calibri"/>
          <w:color w:val="000000" w:themeColor="text1"/>
          <w:shd w:val="clear" w:color="auto" w:fill="FFFFFF"/>
        </w:rPr>
        <w:t>actos de administración. Respecto a la disolución, como q</w:t>
      </w:r>
      <w:r w:rsidR="00713133" w:rsidRPr="00EE25D1">
        <w:rPr>
          <w:rFonts w:ascii="Calibri" w:hAnsi="Calibri"/>
          <w:color w:val="000000" w:themeColor="text1"/>
          <w:shd w:val="clear" w:color="auto" w:fill="FFFFFF"/>
        </w:rPr>
        <w:t xml:space="preserve">uiera que la </w:t>
      </w:r>
      <w:r w:rsidR="00045060" w:rsidRPr="00EE25D1">
        <w:rPr>
          <w:rFonts w:ascii="Calibri" w:hAnsi="Calibri"/>
          <w:color w:val="000000" w:themeColor="text1"/>
          <w:shd w:val="clear" w:color="auto" w:fill="FFFFFF"/>
        </w:rPr>
        <w:t xml:space="preserve">guarda de hecho es </w:t>
      </w:r>
      <w:r w:rsidR="00F74126" w:rsidRPr="00EE25D1">
        <w:rPr>
          <w:rFonts w:ascii="Calibri" w:hAnsi="Calibri"/>
          <w:color w:val="000000" w:themeColor="text1"/>
          <w:shd w:val="clear" w:color="auto" w:fill="FFFFFF"/>
        </w:rPr>
        <w:t>una medida de apoyo y esta puede albergar funciones de representación por mor de</w:t>
      </w:r>
      <w:r w:rsidR="000C0416" w:rsidRPr="00EE25D1">
        <w:rPr>
          <w:rFonts w:ascii="Calibri" w:hAnsi="Calibri"/>
          <w:color w:val="000000" w:themeColor="text1"/>
          <w:shd w:val="clear" w:color="auto" w:fill="FFFFFF"/>
        </w:rPr>
        <w:t xml:space="preserve"> una autorización judicial (</w:t>
      </w:r>
      <w:r w:rsidR="00545FB7" w:rsidRPr="00EE25D1">
        <w:rPr>
          <w:rFonts w:ascii="Calibri" w:hAnsi="Calibri"/>
        </w:rPr>
        <w:t>art.</w:t>
      </w:r>
      <w:r w:rsidR="00F74126" w:rsidRPr="00EE25D1">
        <w:rPr>
          <w:rFonts w:ascii="Calibri" w:hAnsi="Calibri"/>
          <w:color w:val="000000" w:themeColor="text1"/>
          <w:shd w:val="clear" w:color="auto" w:fill="FFFFFF"/>
        </w:rPr>
        <w:t xml:space="preserve"> 264 CC), el cónyuge, </w:t>
      </w:r>
      <w:r w:rsidR="00F74126" w:rsidRPr="00EE25D1">
        <w:rPr>
          <w:rFonts w:ascii="Calibri" w:hAnsi="Calibri"/>
          <w:i/>
          <w:color w:val="000000" w:themeColor="text1"/>
          <w:shd w:val="clear" w:color="auto" w:fill="FFFFFF"/>
        </w:rPr>
        <w:t>a priori</w:t>
      </w:r>
      <w:r w:rsidR="00F74126" w:rsidRPr="00EE25D1">
        <w:rPr>
          <w:rFonts w:ascii="Calibri" w:hAnsi="Calibri"/>
          <w:color w:val="000000" w:themeColor="text1"/>
          <w:shd w:val="clear" w:color="auto" w:fill="FFFFFF"/>
        </w:rPr>
        <w:t xml:space="preserve">, podría solicitar judicialmente la disolución de la sociedad de gananciales. </w:t>
      </w:r>
    </w:p>
    <w:p w:rsidR="00F74126" w:rsidRPr="00EE25D1" w:rsidRDefault="00F74126"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Sin embargo, e</w:t>
      </w:r>
      <w:r w:rsidR="006B0E0A" w:rsidRPr="00EE25D1">
        <w:rPr>
          <w:rFonts w:ascii="Calibri" w:hAnsi="Calibri"/>
          <w:color w:val="000000" w:themeColor="text1"/>
          <w:shd w:val="clear" w:color="auto" w:fill="FFFFFF"/>
        </w:rPr>
        <w:t xml:space="preserve">l problema, tanto en la gestión de los bienes comunes como en la disolución, es el siguiente: </w:t>
      </w:r>
      <w:r w:rsidR="00045060" w:rsidRPr="00EE25D1">
        <w:rPr>
          <w:rFonts w:ascii="Calibri" w:hAnsi="Calibri"/>
          <w:color w:val="000000" w:themeColor="text1"/>
          <w:shd w:val="clear" w:color="auto" w:fill="FFFFFF"/>
        </w:rPr>
        <w:t>h</w:t>
      </w:r>
      <w:r w:rsidRPr="00EE25D1">
        <w:rPr>
          <w:rFonts w:ascii="Calibri" w:hAnsi="Calibri"/>
          <w:color w:val="000000" w:themeColor="text1"/>
          <w:shd w:val="clear" w:color="auto" w:fill="FFFFFF"/>
        </w:rPr>
        <w:t xml:space="preserve">ay que valorar que la guarda de hecho no precisa de resolución judicial, siendo una </w:t>
      </w:r>
      <w:r w:rsidR="00713133" w:rsidRPr="00EE25D1">
        <w:rPr>
          <w:rFonts w:ascii="Calibri" w:hAnsi="Calibri"/>
          <w:color w:val="000000" w:themeColor="text1"/>
          <w:shd w:val="clear" w:color="auto" w:fill="FFFFFF"/>
        </w:rPr>
        <w:t>medida de apoyo</w:t>
      </w:r>
      <w:r w:rsidRPr="00EE25D1">
        <w:rPr>
          <w:rFonts w:ascii="Calibri" w:hAnsi="Calibri"/>
          <w:color w:val="000000" w:themeColor="text1"/>
          <w:shd w:val="clear" w:color="auto" w:fill="FFFFFF"/>
        </w:rPr>
        <w:t xml:space="preserve"> </w:t>
      </w:r>
      <w:r w:rsidR="000F05B9" w:rsidRPr="00EE25D1">
        <w:rPr>
          <w:rFonts w:ascii="Calibri" w:hAnsi="Calibri"/>
          <w:color w:val="000000" w:themeColor="text1"/>
          <w:shd w:val="clear" w:color="auto" w:fill="FFFFFF"/>
        </w:rPr>
        <w:t xml:space="preserve">informal amparada </w:t>
      </w:r>
      <w:r w:rsidR="006B0E0A" w:rsidRPr="00EE25D1">
        <w:rPr>
          <w:rFonts w:ascii="Calibri" w:hAnsi="Calibri"/>
          <w:color w:val="000000" w:themeColor="text1"/>
          <w:shd w:val="clear" w:color="auto" w:fill="FFFFFF"/>
        </w:rPr>
        <w:t>por el legislador. Cuando la persona con discapacidad no tenga el discernimiento suficiente para formar una voluntad el guardador podrá tener funciones representat</w:t>
      </w:r>
      <w:r w:rsidR="000C0416" w:rsidRPr="00EE25D1">
        <w:rPr>
          <w:rFonts w:ascii="Calibri" w:hAnsi="Calibri"/>
          <w:color w:val="000000" w:themeColor="text1"/>
          <w:shd w:val="clear" w:color="auto" w:fill="FFFFFF"/>
        </w:rPr>
        <w:t xml:space="preserve">ivas. La lectura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264 </w:t>
      </w:r>
      <w:r w:rsidR="00C71F23" w:rsidRPr="00EE25D1">
        <w:rPr>
          <w:rFonts w:ascii="Calibri" w:hAnsi="Calibri"/>
        </w:rPr>
        <w:t>del Código Civil</w:t>
      </w:r>
      <w:r w:rsidR="006B0E0A" w:rsidRPr="00EE25D1">
        <w:rPr>
          <w:rFonts w:ascii="Calibri" w:hAnsi="Calibri"/>
          <w:color w:val="000000" w:themeColor="text1"/>
          <w:shd w:val="clear" w:color="auto" w:fill="FFFFFF"/>
        </w:rPr>
        <w:t xml:space="preserve"> lleva a pensar que, si la guarda de hecho precisara de facultades de representación, el guardador deberá pedir autorización judicial, la cual se materializará en una posterior resolución oponible a terceros. Si</w:t>
      </w:r>
      <w:r w:rsidR="00713133" w:rsidRPr="00EE25D1">
        <w:rPr>
          <w:rFonts w:ascii="Calibri" w:hAnsi="Calibri"/>
          <w:color w:val="000000" w:themeColor="text1"/>
          <w:shd w:val="clear" w:color="auto" w:fill="FFFFFF"/>
        </w:rPr>
        <w:t xml:space="preserve"> se</w:t>
      </w:r>
      <w:r w:rsidR="006B0E0A" w:rsidRPr="00EE25D1">
        <w:rPr>
          <w:rFonts w:ascii="Calibri" w:hAnsi="Calibri"/>
          <w:color w:val="000000" w:themeColor="text1"/>
          <w:shd w:val="clear" w:color="auto" w:fill="FFFFFF"/>
        </w:rPr>
        <w:t xml:space="preserve"> da esta circunstancia y la representación es plena, abarcando el ámbito patrimonial conforme a lo expuesto </w:t>
      </w:r>
      <w:r w:rsidR="006B0E0A" w:rsidRPr="00EE25D1">
        <w:rPr>
          <w:rFonts w:ascii="Calibri" w:hAnsi="Calibri"/>
          <w:i/>
          <w:color w:val="000000" w:themeColor="text1"/>
          <w:shd w:val="clear" w:color="auto" w:fill="FFFFFF"/>
        </w:rPr>
        <w:t>supra</w:t>
      </w:r>
      <w:r w:rsidR="006B0E0A" w:rsidRPr="00EE25D1">
        <w:rPr>
          <w:rStyle w:val="Refdenotaalpie"/>
          <w:rFonts w:ascii="Calibri" w:hAnsi="Calibri"/>
          <w:i/>
          <w:color w:val="000000" w:themeColor="text1"/>
          <w:shd w:val="clear" w:color="auto" w:fill="FFFFFF"/>
        </w:rPr>
        <w:footnoteReference w:id="58"/>
      </w:r>
      <w:r w:rsidR="006B0E0A" w:rsidRPr="00EE25D1">
        <w:rPr>
          <w:rFonts w:ascii="Calibri" w:hAnsi="Calibri"/>
          <w:color w:val="000000" w:themeColor="text1"/>
          <w:shd w:val="clear" w:color="auto" w:fill="FFFFFF"/>
        </w:rPr>
        <w:t>, el cónyuge, sea o no guardador, podrá pedir la disolución judicial de la sociedad de gananciales, aportando al efecto la resolución judicial que confiere al guardador de hecho</w:t>
      </w:r>
      <w:r w:rsidR="000C0416" w:rsidRPr="00EE25D1">
        <w:rPr>
          <w:rFonts w:ascii="Calibri" w:hAnsi="Calibri"/>
          <w:color w:val="000000" w:themeColor="text1"/>
          <w:shd w:val="clear" w:color="auto" w:fill="FFFFFF"/>
        </w:rPr>
        <w:t xml:space="preserve"> funciones representativas (</w:t>
      </w:r>
      <w:r w:rsidR="00545FB7" w:rsidRPr="00EE25D1">
        <w:rPr>
          <w:rFonts w:ascii="Calibri" w:hAnsi="Calibri"/>
        </w:rPr>
        <w:t>art.</w:t>
      </w:r>
      <w:r w:rsidR="006B0E0A" w:rsidRPr="00EE25D1">
        <w:rPr>
          <w:rFonts w:ascii="Calibri" w:hAnsi="Calibri"/>
          <w:color w:val="000000" w:themeColor="text1"/>
          <w:shd w:val="clear" w:color="auto" w:fill="FFFFFF"/>
        </w:rPr>
        <w:t xml:space="preserve"> 1393.1º CC </w:t>
      </w:r>
      <w:r w:rsidR="006B0E0A" w:rsidRPr="00EE25D1">
        <w:rPr>
          <w:rFonts w:ascii="Calibri" w:hAnsi="Calibri"/>
          <w:i/>
          <w:color w:val="000000" w:themeColor="text1"/>
          <w:shd w:val="clear" w:color="auto" w:fill="FFFFFF"/>
        </w:rPr>
        <w:t>in fine</w:t>
      </w:r>
      <w:r w:rsidR="006B0E0A" w:rsidRPr="00EE25D1">
        <w:rPr>
          <w:rFonts w:ascii="Calibri" w:hAnsi="Calibri"/>
          <w:color w:val="000000" w:themeColor="text1"/>
          <w:shd w:val="clear" w:color="auto" w:fill="FFFFFF"/>
        </w:rPr>
        <w:t>)</w:t>
      </w:r>
      <w:r w:rsidR="00B61931" w:rsidRPr="00EE25D1">
        <w:rPr>
          <w:rFonts w:ascii="Calibri" w:hAnsi="Calibri"/>
          <w:color w:val="000000" w:themeColor="text1"/>
          <w:shd w:val="clear" w:color="auto" w:fill="FFFFFF"/>
        </w:rPr>
        <w:t>, da</w:t>
      </w:r>
      <w:r w:rsidR="000C0416" w:rsidRPr="00EE25D1">
        <w:rPr>
          <w:rFonts w:ascii="Calibri" w:hAnsi="Calibri"/>
          <w:color w:val="000000" w:themeColor="text1"/>
          <w:shd w:val="clear" w:color="auto" w:fill="FFFFFF"/>
        </w:rPr>
        <w:t xml:space="preserve">da cuenta que el </w:t>
      </w:r>
      <w:r w:rsidR="000C0416" w:rsidRPr="00EE25D1">
        <w:rPr>
          <w:rFonts w:ascii="Calibri" w:hAnsi="Calibri"/>
        </w:rPr>
        <w:t>artículo</w:t>
      </w:r>
      <w:r w:rsidR="000C0416" w:rsidRPr="00EE25D1">
        <w:rPr>
          <w:rFonts w:ascii="Calibri" w:hAnsi="Calibri"/>
          <w:color w:val="000000" w:themeColor="text1"/>
          <w:shd w:val="clear" w:color="auto" w:fill="FFFFFF"/>
        </w:rPr>
        <w:t xml:space="preserve"> 1393.1º, al contrario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1387</w:t>
      </w:r>
      <w:r w:rsidR="00B61931" w:rsidRPr="00EE25D1">
        <w:rPr>
          <w:rFonts w:ascii="Calibri" w:hAnsi="Calibri"/>
          <w:color w:val="000000" w:themeColor="text1"/>
          <w:shd w:val="clear" w:color="auto" w:fill="FFFFFF"/>
        </w:rPr>
        <w:t xml:space="preserve">, no menciona la curatela, sino que habla, en general, de </w:t>
      </w:r>
      <w:r w:rsidR="00713CC7" w:rsidRPr="00EE25D1">
        <w:rPr>
          <w:rFonts w:ascii="Calibri" w:hAnsi="Calibri"/>
          <w:color w:val="000000" w:themeColor="text1"/>
          <w:shd w:val="clear" w:color="auto" w:fill="FFFFFF"/>
        </w:rPr>
        <w:t>“</w:t>
      </w:r>
      <w:r w:rsidR="00B61931" w:rsidRPr="00EE25D1">
        <w:rPr>
          <w:rFonts w:ascii="Calibri" w:hAnsi="Calibri"/>
          <w:color w:val="000000" w:themeColor="text1"/>
          <w:shd w:val="clear" w:color="auto" w:fill="FFFFFF"/>
        </w:rPr>
        <w:t>medidas de apoyo que impliquen facultades de representación plena</w:t>
      </w:r>
      <w:r w:rsidR="00713CC7" w:rsidRPr="00EE25D1">
        <w:rPr>
          <w:rFonts w:ascii="Calibri" w:hAnsi="Calibri"/>
          <w:color w:val="000000" w:themeColor="text1"/>
          <w:shd w:val="clear" w:color="auto" w:fill="FFFFFF"/>
        </w:rPr>
        <w:t>”</w:t>
      </w:r>
      <w:r w:rsidR="00B61931" w:rsidRPr="00EE25D1">
        <w:rPr>
          <w:rFonts w:ascii="Calibri" w:hAnsi="Calibri"/>
          <w:color w:val="000000" w:themeColor="text1"/>
          <w:shd w:val="clear" w:color="auto" w:fill="FFFFFF"/>
        </w:rPr>
        <w:t xml:space="preserve"> y que estas medidas se </w:t>
      </w:r>
      <w:r w:rsidR="00713CC7" w:rsidRPr="00EE25D1">
        <w:rPr>
          <w:rFonts w:ascii="Calibri" w:hAnsi="Calibri"/>
          <w:color w:val="000000" w:themeColor="text1"/>
          <w:shd w:val="clear" w:color="auto" w:fill="FFFFFF"/>
        </w:rPr>
        <w:t>“</w:t>
      </w:r>
      <w:r w:rsidR="00B61931" w:rsidRPr="00EE25D1">
        <w:rPr>
          <w:rFonts w:ascii="Calibri" w:hAnsi="Calibri"/>
          <w:color w:val="000000" w:themeColor="text1"/>
          <w:shd w:val="clear" w:color="auto" w:fill="FFFFFF"/>
        </w:rPr>
        <w:t>hubieren dispuesto judicialmente</w:t>
      </w:r>
      <w:r w:rsidR="00713CC7" w:rsidRPr="00EE25D1">
        <w:rPr>
          <w:rFonts w:ascii="Calibri" w:hAnsi="Calibri"/>
          <w:color w:val="000000" w:themeColor="text1"/>
          <w:shd w:val="clear" w:color="auto" w:fill="FFFFFF"/>
        </w:rPr>
        <w:t>”</w:t>
      </w:r>
      <w:r w:rsidR="00B61931" w:rsidRPr="00EE25D1">
        <w:rPr>
          <w:rFonts w:ascii="Calibri" w:hAnsi="Calibri"/>
          <w:color w:val="000000" w:themeColor="text1"/>
          <w:shd w:val="clear" w:color="auto" w:fill="FFFFFF"/>
        </w:rPr>
        <w:t>. Si la guarda de hecho con facultades de representación precisa de autorización judicial es evidente que la misma se subsume en el supuesto de hecho de la norm</w:t>
      </w:r>
      <w:r w:rsidR="00713133" w:rsidRPr="00EE25D1">
        <w:rPr>
          <w:rFonts w:ascii="Calibri" w:hAnsi="Calibri"/>
          <w:color w:val="000000" w:themeColor="text1"/>
          <w:shd w:val="clear" w:color="auto" w:fill="FFFFFF"/>
        </w:rPr>
        <w:t>a. Sin embargo, resulta excluida</w:t>
      </w:r>
      <w:r w:rsidR="000C0416" w:rsidRPr="00EE25D1">
        <w:rPr>
          <w:rFonts w:ascii="Calibri" w:hAnsi="Calibri"/>
          <w:color w:val="000000" w:themeColor="text1"/>
          <w:shd w:val="clear" w:color="auto" w:fill="FFFFFF"/>
        </w:rPr>
        <w:t xml:space="preserve">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1387</w:t>
      </w:r>
      <w:r w:rsidR="00B61931" w:rsidRPr="00EE25D1">
        <w:rPr>
          <w:rFonts w:ascii="Calibri" w:hAnsi="Calibri"/>
          <w:color w:val="000000" w:themeColor="text1"/>
          <w:shd w:val="clear" w:color="auto" w:fill="FFFFFF"/>
        </w:rPr>
        <w:t xml:space="preserve">, el cual solo habla de curatela, excluyendo, implícitamente, la guarda de hecho. </w:t>
      </w:r>
    </w:p>
    <w:p w:rsidR="008E7D26" w:rsidRPr="00EE25D1" w:rsidRDefault="00B61931"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Esto quiere decir que, cuando el cónyuge esté</w:t>
      </w:r>
      <w:r w:rsidR="00045060" w:rsidRPr="00EE25D1">
        <w:rPr>
          <w:rFonts w:ascii="Calibri" w:hAnsi="Calibri"/>
          <w:color w:val="000000" w:themeColor="text1"/>
          <w:shd w:val="clear" w:color="auto" w:fill="FFFFFF"/>
        </w:rPr>
        <w:t xml:space="preserve"> a</w:t>
      </w:r>
      <w:r w:rsidRPr="00EE25D1">
        <w:rPr>
          <w:rFonts w:ascii="Calibri" w:hAnsi="Calibri"/>
          <w:color w:val="000000" w:themeColor="text1"/>
          <w:shd w:val="clear" w:color="auto" w:fill="FFFFFF"/>
        </w:rPr>
        <w:t xml:space="preserve"> merced de una guarda de hecho con facultades de representación plena, el consorte podrá pedir la disolución de la sociedad de gananciales</w:t>
      </w:r>
      <w:r w:rsidR="00213EBB" w:rsidRPr="00EE25D1">
        <w:rPr>
          <w:rFonts w:ascii="Calibri" w:hAnsi="Calibri"/>
          <w:color w:val="000000" w:themeColor="text1"/>
          <w:shd w:val="clear" w:color="auto" w:fill="FFFFFF"/>
        </w:rPr>
        <w:t xml:space="preserve"> y que</w:t>
      </w:r>
      <w:r w:rsidRPr="00EE25D1">
        <w:rPr>
          <w:rFonts w:ascii="Calibri" w:hAnsi="Calibri"/>
          <w:color w:val="000000" w:themeColor="text1"/>
          <w:shd w:val="clear" w:color="auto" w:fill="FFFFFF"/>
        </w:rPr>
        <w:t>, en cambio, tiene vetado, aunque sea guardador, la administración y disposición de los bienes comunes. Si el legislador ha generalizado, y por qué no decir institucionalizado, la guarda de hecho, configurándola como la principal medida de apoyo si presenta un funcionamiento co</w:t>
      </w:r>
      <w:r w:rsidR="00A72D39" w:rsidRPr="00EE25D1">
        <w:rPr>
          <w:rFonts w:ascii="Calibri" w:hAnsi="Calibri"/>
          <w:color w:val="000000" w:themeColor="text1"/>
          <w:shd w:val="clear" w:color="auto" w:fill="FFFFFF"/>
        </w:rPr>
        <w:t xml:space="preserve">rrecto ¿se podría afirmar que el cónyuge que tenga la guarda de hecho de su consorte con facultades de representación plena podrá administrar y disponer unilateralmente los bienes gananciales? Incógnita complicada de resolver. </w:t>
      </w:r>
    </w:p>
    <w:p w:rsidR="00AD1794" w:rsidRPr="00EE25D1" w:rsidRDefault="00C17697"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El lector podría aventurar</w:t>
      </w:r>
      <w:r w:rsidR="003A03CA" w:rsidRPr="00EE25D1">
        <w:rPr>
          <w:rFonts w:ascii="Calibri" w:hAnsi="Calibri"/>
          <w:color w:val="000000" w:themeColor="text1"/>
          <w:shd w:val="clear" w:color="auto" w:fill="FFFFFF"/>
        </w:rPr>
        <w:t xml:space="preserve"> que habría que incoar un procedimiento para la constitución de una curatela</w:t>
      </w:r>
      <w:r w:rsidR="00DF3459" w:rsidRPr="00EE25D1">
        <w:rPr>
          <w:rFonts w:ascii="Calibri" w:hAnsi="Calibri"/>
          <w:color w:val="000000" w:themeColor="text1"/>
          <w:shd w:val="clear" w:color="auto" w:fill="FFFFFF"/>
        </w:rPr>
        <w:t xml:space="preserve">, </w:t>
      </w:r>
      <w:r w:rsidR="003A03CA" w:rsidRPr="00EE25D1">
        <w:rPr>
          <w:rFonts w:ascii="Calibri" w:hAnsi="Calibri"/>
          <w:color w:val="000000" w:themeColor="text1"/>
          <w:shd w:val="clear" w:color="auto" w:fill="FFFFFF"/>
        </w:rPr>
        <w:t>pero, funcionado la guarda de hecho correctamente</w:t>
      </w:r>
      <w:r w:rsidR="009F68E3" w:rsidRPr="00EE25D1">
        <w:rPr>
          <w:rFonts w:ascii="Calibri" w:hAnsi="Calibri"/>
          <w:color w:val="000000" w:themeColor="text1"/>
          <w:shd w:val="clear" w:color="auto" w:fill="FFFFFF"/>
        </w:rPr>
        <w:t>, no existiendo conflictos entre el guardado</w:t>
      </w:r>
      <w:r w:rsidR="00DF3459" w:rsidRPr="00EE25D1">
        <w:rPr>
          <w:rFonts w:ascii="Calibri" w:hAnsi="Calibri"/>
          <w:color w:val="000000" w:themeColor="text1"/>
          <w:shd w:val="clear" w:color="auto" w:fill="FFFFFF"/>
        </w:rPr>
        <w:t>r</w:t>
      </w:r>
      <w:r w:rsidR="009F68E3" w:rsidRPr="00EE25D1">
        <w:rPr>
          <w:rFonts w:ascii="Calibri" w:hAnsi="Calibri"/>
          <w:color w:val="000000" w:themeColor="text1"/>
          <w:shd w:val="clear" w:color="auto" w:fill="FFFFFF"/>
        </w:rPr>
        <w:t xml:space="preserve"> y la persona con discapacidad, </w:t>
      </w:r>
      <w:r w:rsidR="003A03CA" w:rsidRPr="00EE25D1">
        <w:rPr>
          <w:rFonts w:ascii="Calibri" w:hAnsi="Calibri"/>
          <w:color w:val="000000" w:themeColor="text1"/>
          <w:shd w:val="clear" w:color="auto" w:fill="FFFFFF"/>
        </w:rPr>
        <w:t>y rindiendo tributo al apoyo que precisa,</w:t>
      </w:r>
      <w:r w:rsidR="00DF3459" w:rsidRPr="00EE25D1">
        <w:rPr>
          <w:rFonts w:ascii="Calibri" w:hAnsi="Calibri"/>
          <w:color w:val="000000" w:themeColor="text1"/>
          <w:shd w:val="clear" w:color="auto" w:fill="FFFFFF"/>
        </w:rPr>
        <w:t xml:space="preserve"> algunos Juzgado</w:t>
      </w:r>
      <w:r w:rsidR="000F05B9" w:rsidRPr="00EE25D1">
        <w:rPr>
          <w:rFonts w:ascii="Calibri" w:hAnsi="Calibri"/>
          <w:color w:val="000000" w:themeColor="text1"/>
          <w:shd w:val="clear" w:color="auto" w:fill="FFFFFF"/>
        </w:rPr>
        <w:t>s</w:t>
      </w:r>
      <w:r w:rsidR="00DF3459" w:rsidRPr="00EE25D1">
        <w:rPr>
          <w:rFonts w:ascii="Calibri" w:hAnsi="Calibri"/>
          <w:color w:val="000000" w:themeColor="text1"/>
          <w:shd w:val="clear" w:color="auto" w:fill="FFFFFF"/>
        </w:rPr>
        <w:t xml:space="preserve"> han manifestado que</w:t>
      </w:r>
      <w:r w:rsidR="003A03CA" w:rsidRPr="00EE25D1">
        <w:rPr>
          <w:rFonts w:ascii="Calibri" w:hAnsi="Calibri"/>
          <w:color w:val="000000" w:themeColor="text1"/>
          <w:shd w:val="clear" w:color="auto" w:fill="FFFFFF"/>
        </w:rPr>
        <w:t xml:space="preserve"> </w:t>
      </w:r>
      <w:r w:rsidR="00136888" w:rsidRPr="00EE25D1">
        <w:rPr>
          <w:rFonts w:ascii="Calibri" w:hAnsi="Calibri"/>
          <w:color w:val="000000" w:themeColor="text1"/>
          <w:shd w:val="clear" w:color="auto" w:fill="FFFFFF"/>
        </w:rPr>
        <w:t xml:space="preserve">la </w:t>
      </w:r>
      <w:r w:rsidR="00DF3459" w:rsidRPr="00EE25D1">
        <w:rPr>
          <w:rFonts w:ascii="Calibri" w:hAnsi="Calibri"/>
          <w:color w:val="000000" w:themeColor="text1"/>
          <w:shd w:val="clear" w:color="auto" w:fill="FFFFFF"/>
        </w:rPr>
        <w:t>constitución</w:t>
      </w:r>
      <w:r w:rsidR="00136888" w:rsidRPr="00EE25D1">
        <w:rPr>
          <w:rFonts w:ascii="Calibri" w:hAnsi="Calibri"/>
          <w:color w:val="000000" w:themeColor="text1"/>
          <w:shd w:val="clear" w:color="auto" w:fill="FFFFFF"/>
        </w:rPr>
        <w:t xml:space="preserve"> de una medida judicial de apoyo</w:t>
      </w:r>
      <w:r w:rsidR="004A08FC" w:rsidRPr="00EE25D1">
        <w:rPr>
          <w:rFonts w:ascii="Calibri" w:hAnsi="Calibri"/>
          <w:color w:val="000000" w:themeColor="text1"/>
          <w:shd w:val="clear" w:color="auto" w:fill="FFFFFF"/>
        </w:rPr>
        <w:t xml:space="preserve"> judicial</w:t>
      </w:r>
      <w:r w:rsidR="00136888" w:rsidRPr="00EE25D1">
        <w:rPr>
          <w:rFonts w:ascii="Calibri" w:hAnsi="Calibri"/>
          <w:color w:val="000000" w:themeColor="text1"/>
          <w:shd w:val="clear" w:color="auto" w:fill="FFFFFF"/>
        </w:rPr>
        <w:t xml:space="preserve"> como la curatela </w:t>
      </w:r>
      <w:r w:rsidR="00DF3459" w:rsidRPr="00EE25D1">
        <w:rPr>
          <w:rFonts w:ascii="Calibri" w:hAnsi="Calibri"/>
          <w:color w:val="000000" w:themeColor="text1"/>
          <w:shd w:val="clear" w:color="auto" w:fill="FFFFFF"/>
        </w:rPr>
        <w:t>carecería</w:t>
      </w:r>
      <w:r w:rsidR="004A326A" w:rsidRPr="00EE25D1">
        <w:rPr>
          <w:rFonts w:ascii="Calibri" w:hAnsi="Calibri"/>
          <w:color w:val="000000" w:themeColor="text1"/>
          <w:shd w:val="clear" w:color="auto" w:fill="FFFFFF"/>
        </w:rPr>
        <w:t>, en teoría</w:t>
      </w:r>
      <w:r w:rsidR="00DF3459" w:rsidRPr="00EE25D1">
        <w:rPr>
          <w:rFonts w:ascii="Calibri" w:hAnsi="Calibri"/>
          <w:color w:val="000000" w:themeColor="text1"/>
          <w:shd w:val="clear" w:color="auto" w:fill="FFFFFF"/>
        </w:rPr>
        <w:t>,</w:t>
      </w:r>
      <w:r w:rsidR="004A326A" w:rsidRPr="00EE25D1">
        <w:rPr>
          <w:rFonts w:ascii="Calibri" w:hAnsi="Calibri"/>
          <w:color w:val="000000" w:themeColor="text1"/>
          <w:shd w:val="clear" w:color="auto" w:fill="FFFFFF"/>
        </w:rPr>
        <w:t xml:space="preserve"> de razón de ser</w:t>
      </w:r>
      <w:r w:rsidR="004A08FC" w:rsidRPr="00EE25D1">
        <w:rPr>
          <w:rFonts w:ascii="Calibri" w:hAnsi="Calibri"/>
          <w:color w:val="000000" w:themeColor="text1"/>
          <w:shd w:val="clear" w:color="auto" w:fill="FFFFFF"/>
        </w:rPr>
        <w:t xml:space="preserve">, </w:t>
      </w:r>
      <w:r w:rsidR="00DF3459" w:rsidRPr="00EE25D1">
        <w:rPr>
          <w:rFonts w:ascii="Calibri" w:hAnsi="Calibri"/>
          <w:color w:val="000000" w:themeColor="text1"/>
          <w:shd w:val="clear" w:color="auto" w:fill="FFFFFF"/>
        </w:rPr>
        <w:t>citando, al efecto,</w:t>
      </w:r>
      <w:r w:rsidR="000C0416" w:rsidRPr="00EE25D1">
        <w:rPr>
          <w:rFonts w:ascii="Calibri" w:hAnsi="Calibri"/>
          <w:color w:val="000000" w:themeColor="text1"/>
          <w:shd w:val="clear" w:color="auto" w:fill="FFFFFF"/>
        </w:rPr>
        <w:t xml:space="preserve"> el </w:t>
      </w:r>
      <w:r w:rsidR="000C0416" w:rsidRPr="00EE25D1">
        <w:rPr>
          <w:rFonts w:ascii="Calibri" w:hAnsi="Calibri"/>
        </w:rPr>
        <w:t>artículo</w:t>
      </w:r>
      <w:r w:rsidR="00F3313C" w:rsidRPr="00EE25D1">
        <w:rPr>
          <w:rFonts w:ascii="Calibri" w:hAnsi="Calibri"/>
          <w:color w:val="000000" w:themeColor="text1"/>
          <w:shd w:val="clear" w:color="auto" w:fill="FFFFFF"/>
        </w:rPr>
        <w:t xml:space="preserve"> 269 </w:t>
      </w:r>
      <w:r w:rsidR="00C71F23" w:rsidRPr="00EE25D1">
        <w:rPr>
          <w:rFonts w:ascii="Calibri" w:hAnsi="Calibri"/>
        </w:rPr>
        <w:t>del Código Civil</w:t>
      </w:r>
      <w:r w:rsidR="00C71F23" w:rsidRPr="00EE25D1">
        <w:rPr>
          <w:rStyle w:val="Refdenotaalpie"/>
          <w:rFonts w:ascii="Calibri" w:hAnsi="Calibri"/>
          <w:color w:val="000000" w:themeColor="text1"/>
          <w:shd w:val="clear" w:color="auto" w:fill="FFFFFF"/>
        </w:rPr>
        <w:t xml:space="preserve"> </w:t>
      </w:r>
      <w:r w:rsidR="00F0390B" w:rsidRPr="00EE25D1">
        <w:rPr>
          <w:rStyle w:val="Refdenotaalpie"/>
          <w:rFonts w:ascii="Calibri" w:hAnsi="Calibri"/>
          <w:color w:val="000000" w:themeColor="text1"/>
          <w:shd w:val="clear" w:color="auto" w:fill="FFFFFF"/>
        </w:rPr>
        <w:footnoteReference w:id="59"/>
      </w:r>
      <w:r w:rsidR="00F3313C" w:rsidRPr="00EE25D1">
        <w:rPr>
          <w:rFonts w:ascii="Calibri" w:hAnsi="Calibri"/>
          <w:color w:val="000000" w:themeColor="text1"/>
          <w:shd w:val="clear" w:color="auto" w:fill="FFFFFF"/>
        </w:rPr>
        <w:t xml:space="preserve">. </w:t>
      </w:r>
      <w:r w:rsidR="00DF3459" w:rsidRPr="00EE25D1">
        <w:rPr>
          <w:rFonts w:ascii="Calibri" w:hAnsi="Calibri"/>
          <w:color w:val="000000" w:themeColor="text1"/>
          <w:shd w:val="clear" w:color="auto" w:fill="FFFFFF"/>
        </w:rPr>
        <w:t>Sin embargo, no se trata de una exégesis consolidada en la práctica forense, habiéndose dictado resoluciones que, pese la previa existencia de una guarda de hecho</w:t>
      </w:r>
      <w:r w:rsidR="000F05B9" w:rsidRPr="00EE25D1">
        <w:rPr>
          <w:rFonts w:ascii="Calibri" w:hAnsi="Calibri"/>
          <w:color w:val="000000" w:themeColor="text1"/>
          <w:shd w:val="clear" w:color="auto" w:fill="FFFFFF"/>
        </w:rPr>
        <w:t xml:space="preserve">, </w:t>
      </w:r>
      <w:r w:rsidR="00DF3459" w:rsidRPr="00EE25D1">
        <w:rPr>
          <w:rFonts w:ascii="Calibri" w:hAnsi="Calibri"/>
          <w:color w:val="000000" w:themeColor="text1"/>
          <w:shd w:val="clear" w:color="auto" w:fill="FFFFFF"/>
        </w:rPr>
        <w:t xml:space="preserve">han constituido una curatela </w:t>
      </w:r>
      <w:r w:rsidR="00213EBB" w:rsidRPr="00EE25D1">
        <w:rPr>
          <w:rFonts w:ascii="Calibri" w:hAnsi="Calibri"/>
          <w:color w:val="000000" w:themeColor="text1"/>
          <w:shd w:val="clear" w:color="auto" w:fill="FFFFFF"/>
        </w:rPr>
        <w:t xml:space="preserve">en atención a </w:t>
      </w:r>
      <w:r w:rsidR="000F05B9" w:rsidRPr="00EE25D1">
        <w:rPr>
          <w:rFonts w:ascii="Calibri" w:hAnsi="Calibri"/>
          <w:color w:val="000000" w:themeColor="text1"/>
          <w:shd w:val="clear" w:color="auto" w:fill="FFFFFF"/>
        </w:rPr>
        <w:t xml:space="preserve">la enfermedad </w:t>
      </w:r>
      <w:r w:rsidR="00DF3459" w:rsidRPr="00EE25D1">
        <w:rPr>
          <w:rFonts w:ascii="Calibri" w:hAnsi="Calibri"/>
          <w:color w:val="000000" w:themeColor="text1"/>
          <w:shd w:val="clear" w:color="auto" w:fill="FFFFFF"/>
        </w:rPr>
        <w:t>que padecía la persona con discapacidad, otorgándole al apoyo facultades de representación</w:t>
      </w:r>
      <w:r w:rsidR="00DF3459" w:rsidRPr="00EE25D1">
        <w:rPr>
          <w:rStyle w:val="Refdenotaalpie"/>
          <w:rFonts w:ascii="Calibri" w:hAnsi="Calibri"/>
          <w:color w:val="000000" w:themeColor="text1"/>
          <w:shd w:val="clear" w:color="auto" w:fill="FFFFFF"/>
        </w:rPr>
        <w:footnoteReference w:id="60"/>
      </w:r>
      <w:r w:rsidR="00DF3459" w:rsidRPr="00EE25D1">
        <w:rPr>
          <w:rFonts w:ascii="Calibri" w:hAnsi="Calibri"/>
          <w:color w:val="000000" w:themeColor="text1"/>
          <w:shd w:val="clear" w:color="auto" w:fill="FFFFFF"/>
        </w:rPr>
        <w:t>.</w:t>
      </w:r>
      <w:r w:rsidR="00787F79" w:rsidRPr="00EE25D1">
        <w:rPr>
          <w:rFonts w:ascii="Calibri" w:hAnsi="Calibri"/>
          <w:color w:val="000000" w:themeColor="text1"/>
          <w:shd w:val="clear" w:color="auto" w:fill="FFFFFF"/>
        </w:rPr>
        <w:t xml:space="preserve"> </w:t>
      </w:r>
      <w:r w:rsidR="000F05B9" w:rsidRPr="00EE25D1">
        <w:rPr>
          <w:rFonts w:ascii="Calibri" w:hAnsi="Calibri"/>
          <w:color w:val="000000" w:themeColor="text1"/>
          <w:shd w:val="clear" w:color="auto" w:fill="FFFFFF"/>
        </w:rPr>
        <w:t>El planteamiento de constituir una curatela ante el callejón sin salida al que p</w:t>
      </w:r>
      <w:r w:rsidR="000C0416" w:rsidRPr="00EE25D1">
        <w:rPr>
          <w:rFonts w:ascii="Calibri" w:hAnsi="Calibri"/>
          <w:color w:val="000000" w:themeColor="text1"/>
          <w:shd w:val="clear" w:color="auto" w:fill="FFFFFF"/>
        </w:rPr>
        <w:t xml:space="preserve">uede conducir el </w:t>
      </w:r>
      <w:r w:rsidR="000C0416" w:rsidRPr="00EE25D1">
        <w:rPr>
          <w:rFonts w:ascii="Calibri" w:hAnsi="Calibri"/>
        </w:rPr>
        <w:t>artículo</w:t>
      </w:r>
      <w:r w:rsidR="00045060" w:rsidRPr="00EE25D1">
        <w:rPr>
          <w:rFonts w:ascii="Calibri" w:hAnsi="Calibri"/>
          <w:color w:val="000000" w:themeColor="text1"/>
          <w:shd w:val="clear" w:color="auto" w:fill="FFFFFF"/>
        </w:rPr>
        <w:t xml:space="preserve"> 138</w:t>
      </w:r>
      <w:r w:rsidR="00C71F23" w:rsidRPr="00EE25D1">
        <w:rPr>
          <w:rFonts w:ascii="Calibri" w:hAnsi="Calibri"/>
          <w:color w:val="000000" w:themeColor="text1"/>
          <w:shd w:val="clear" w:color="auto" w:fill="FFFFFF"/>
        </w:rPr>
        <w:t>7</w:t>
      </w:r>
      <w:r w:rsidR="00045060" w:rsidRPr="00EE25D1">
        <w:rPr>
          <w:rFonts w:ascii="Calibri" w:hAnsi="Calibri"/>
          <w:color w:val="000000" w:themeColor="text1"/>
          <w:shd w:val="clear" w:color="auto" w:fill="FFFFFF"/>
        </w:rPr>
        <w:t xml:space="preserve"> en</w:t>
      </w:r>
      <w:r w:rsidR="000F05B9" w:rsidRPr="00EE25D1">
        <w:rPr>
          <w:rFonts w:ascii="Calibri" w:hAnsi="Calibri"/>
          <w:color w:val="000000" w:themeColor="text1"/>
          <w:shd w:val="clear" w:color="auto" w:fill="FFFFFF"/>
        </w:rPr>
        <w:t xml:space="preserve"> los escenarios de guarda de hecho</w:t>
      </w:r>
      <w:r w:rsidR="00787F79" w:rsidRPr="00EE25D1">
        <w:rPr>
          <w:rFonts w:ascii="Calibri" w:hAnsi="Calibri"/>
          <w:color w:val="000000" w:themeColor="text1"/>
          <w:shd w:val="clear" w:color="auto" w:fill="FFFFFF"/>
        </w:rPr>
        <w:t xml:space="preserve"> puede sustentarse en e</w:t>
      </w:r>
      <w:r w:rsidR="00C71F23" w:rsidRPr="00EE25D1">
        <w:rPr>
          <w:rFonts w:ascii="Calibri" w:hAnsi="Calibri"/>
          <w:color w:val="000000" w:themeColor="text1"/>
          <w:shd w:val="clear" w:color="auto" w:fill="FFFFFF"/>
        </w:rPr>
        <w:t>l primer</w:t>
      </w:r>
      <w:r w:rsidR="000C0416" w:rsidRPr="00EE25D1">
        <w:rPr>
          <w:rFonts w:ascii="Calibri" w:hAnsi="Calibri"/>
          <w:color w:val="000000" w:themeColor="text1"/>
          <w:shd w:val="clear" w:color="auto" w:fill="FFFFFF"/>
        </w:rPr>
        <w:t xml:space="preserve"> párrafo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269</w:t>
      </w:r>
      <w:r w:rsidR="000F05B9" w:rsidRPr="00EE25D1">
        <w:rPr>
          <w:rFonts w:ascii="Calibri" w:hAnsi="Calibri"/>
          <w:color w:val="000000" w:themeColor="text1"/>
          <w:shd w:val="clear" w:color="auto" w:fill="FFFFFF"/>
        </w:rPr>
        <w:t>,</w:t>
      </w:r>
      <w:r w:rsidR="00787F79" w:rsidRPr="00EE25D1">
        <w:rPr>
          <w:rFonts w:ascii="Calibri" w:hAnsi="Calibri"/>
          <w:color w:val="000000" w:themeColor="text1"/>
          <w:shd w:val="clear" w:color="auto" w:fill="FFFFFF"/>
        </w:rPr>
        <w:t xml:space="preserve"> que dice que el Juez constituirá una curatela </w:t>
      </w:r>
      <w:r w:rsidR="00713CC7" w:rsidRPr="00EE25D1">
        <w:rPr>
          <w:rFonts w:ascii="Calibri" w:hAnsi="Calibri"/>
          <w:color w:val="000000" w:themeColor="text1"/>
          <w:shd w:val="clear" w:color="auto" w:fill="FFFFFF"/>
        </w:rPr>
        <w:t>“</w:t>
      </w:r>
      <w:r w:rsidR="00787F79" w:rsidRPr="00EE25D1">
        <w:rPr>
          <w:rFonts w:ascii="Calibri" w:hAnsi="Calibri"/>
          <w:color w:val="000000" w:themeColor="text1"/>
          <w:shd w:val="clear" w:color="auto" w:fill="FFFFFF"/>
        </w:rPr>
        <w:t xml:space="preserve">cuando no exista otra medida </w:t>
      </w:r>
      <w:r w:rsidR="00787F79" w:rsidRPr="00EE25D1">
        <w:rPr>
          <w:rFonts w:ascii="Calibri" w:hAnsi="Calibri"/>
          <w:i/>
          <w:color w:val="000000" w:themeColor="text1"/>
          <w:shd w:val="clear" w:color="auto" w:fill="FFFFFF"/>
        </w:rPr>
        <w:t>de apoyo suficiente</w:t>
      </w:r>
      <w:r w:rsidR="00787F79" w:rsidRPr="00EE25D1">
        <w:rPr>
          <w:rFonts w:ascii="Calibri" w:hAnsi="Calibri"/>
          <w:color w:val="000000" w:themeColor="text1"/>
          <w:shd w:val="clear" w:color="auto" w:fill="FFFFFF"/>
        </w:rPr>
        <w:t xml:space="preserve"> para</w:t>
      </w:r>
      <w:r w:rsidR="000F05B9" w:rsidRPr="00EE25D1">
        <w:rPr>
          <w:rFonts w:ascii="Calibri" w:hAnsi="Calibri"/>
          <w:color w:val="000000" w:themeColor="text1"/>
          <w:shd w:val="clear" w:color="auto" w:fill="FFFFFF"/>
        </w:rPr>
        <w:t xml:space="preserve"> la persona con discapacidad</w:t>
      </w:r>
      <w:r w:rsidR="00713CC7" w:rsidRPr="00EE25D1">
        <w:rPr>
          <w:rFonts w:ascii="Calibri" w:hAnsi="Calibri"/>
          <w:color w:val="000000" w:themeColor="text1"/>
          <w:shd w:val="clear" w:color="auto" w:fill="FFFFFF"/>
        </w:rPr>
        <w:t>”</w:t>
      </w:r>
      <w:r w:rsidR="000F05B9" w:rsidRPr="00EE25D1">
        <w:rPr>
          <w:rFonts w:ascii="Calibri" w:hAnsi="Calibri"/>
          <w:color w:val="000000" w:themeColor="text1"/>
          <w:shd w:val="clear" w:color="auto" w:fill="FFFFFF"/>
        </w:rPr>
        <w:t>. L</w:t>
      </w:r>
      <w:r w:rsidR="00787F79" w:rsidRPr="00EE25D1">
        <w:rPr>
          <w:rFonts w:ascii="Calibri" w:hAnsi="Calibri"/>
          <w:color w:val="000000" w:themeColor="text1"/>
          <w:shd w:val="clear" w:color="auto" w:fill="FFFFFF"/>
        </w:rPr>
        <w:t xml:space="preserve">a expresión que emplea la </w:t>
      </w:r>
      <w:r w:rsidR="00787F79" w:rsidRPr="00EE25D1">
        <w:rPr>
          <w:rFonts w:ascii="Calibri" w:hAnsi="Calibri"/>
          <w:i/>
          <w:color w:val="000000" w:themeColor="text1"/>
          <w:shd w:val="clear" w:color="auto" w:fill="FFFFFF"/>
        </w:rPr>
        <w:t>dictio legis</w:t>
      </w:r>
      <w:r w:rsidR="00787F79" w:rsidRPr="00EE25D1">
        <w:rPr>
          <w:rFonts w:ascii="Calibri" w:hAnsi="Calibri"/>
          <w:color w:val="000000" w:themeColor="text1"/>
          <w:shd w:val="clear" w:color="auto" w:fill="FFFFFF"/>
        </w:rPr>
        <w:t xml:space="preserve"> se podría interpretar, en el concreto punto en el que estamos</w:t>
      </w:r>
      <w:r w:rsidR="00045060" w:rsidRPr="00EE25D1">
        <w:rPr>
          <w:rFonts w:ascii="Calibri" w:hAnsi="Calibri"/>
          <w:color w:val="000000" w:themeColor="text1"/>
          <w:shd w:val="clear" w:color="auto" w:fill="FFFFFF"/>
        </w:rPr>
        <w:t xml:space="preserve"> inmersos, del siguiente modo: c</w:t>
      </w:r>
      <w:r w:rsidR="00787F79" w:rsidRPr="00EE25D1">
        <w:rPr>
          <w:rFonts w:ascii="Calibri" w:hAnsi="Calibri"/>
          <w:color w:val="000000" w:themeColor="text1"/>
          <w:shd w:val="clear" w:color="auto" w:fill="FFFFFF"/>
        </w:rPr>
        <w:t>omo quiera que la guarda de hecho representativa que viene ejercien</w:t>
      </w:r>
      <w:r w:rsidR="00D03276" w:rsidRPr="00EE25D1">
        <w:rPr>
          <w:rFonts w:ascii="Calibri" w:hAnsi="Calibri"/>
          <w:color w:val="000000" w:themeColor="text1"/>
          <w:shd w:val="clear" w:color="auto" w:fill="FFFFFF"/>
        </w:rPr>
        <w:t>do el cónyuge no es suficiente para que este gestione</w:t>
      </w:r>
      <w:r w:rsidR="00787F79" w:rsidRPr="00EE25D1">
        <w:rPr>
          <w:rFonts w:ascii="Calibri" w:hAnsi="Calibri"/>
          <w:color w:val="000000" w:themeColor="text1"/>
          <w:shd w:val="clear" w:color="auto" w:fill="FFFFFF"/>
        </w:rPr>
        <w:t xml:space="preserve"> los bienes gananciales o pida la disolución judicial de la sociedad</w:t>
      </w:r>
      <w:r w:rsidR="00EB4D56" w:rsidRPr="00EE25D1">
        <w:rPr>
          <w:rFonts w:ascii="Calibri" w:hAnsi="Calibri"/>
          <w:color w:val="000000" w:themeColor="text1"/>
          <w:shd w:val="clear" w:color="auto" w:fill="FFFFFF"/>
        </w:rPr>
        <w:t xml:space="preserve"> por mo</w:t>
      </w:r>
      <w:r w:rsidR="000C0416" w:rsidRPr="00EE25D1">
        <w:rPr>
          <w:rFonts w:ascii="Calibri" w:hAnsi="Calibri"/>
          <w:color w:val="000000" w:themeColor="text1"/>
          <w:shd w:val="clear" w:color="auto" w:fill="FFFFFF"/>
        </w:rPr>
        <w:t xml:space="preserve">r de los </w:t>
      </w:r>
      <w:r w:rsidR="000C0416" w:rsidRPr="00EE25D1">
        <w:rPr>
          <w:rFonts w:ascii="Calibri" w:hAnsi="Calibri"/>
        </w:rPr>
        <w:t>artículos</w:t>
      </w:r>
      <w:r w:rsidR="00C71F23" w:rsidRPr="00EE25D1">
        <w:rPr>
          <w:rFonts w:ascii="Calibri" w:hAnsi="Calibri"/>
          <w:color w:val="000000" w:themeColor="text1"/>
          <w:shd w:val="clear" w:color="auto" w:fill="FFFFFF"/>
        </w:rPr>
        <w:t xml:space="preserve"> 1387 y 1393.1º </w:t>
      </w:r>
      <w:r w:rsidR="00C71F23" w:rsidRPr="00EE25D1">
        <w:rPr>
          <w:rFonts w:ascii="Calibri" w:hAnsi="Calibri"/>
        </w:rPr>
        <w:t>del Código Civil</w:t>
      </w:r>
      <w:r w:rsidR="00787F79" w:rsidRPr="00EE25D1">
        <w:rPr>
          <w:rFonts w:ascii="Calibri" w:hAnsi="Calibri"/>
          <w:color w:val="000000" w:themeColor="text1"/>
          <w:shd w:val="clear" w:color="auto" w:fill="FFFFFF"/>
        </w:rPr>
        <w:t>, se puede argüir que la guarda de hecho</w:t>
      </w:r>
      <w:r w:rsidR="00540479" w:rsidRPr="00EE25D1">
        <w:rPr>
          <w:rFonts w:ascii="Calibri" w:hAnsi="Calibri"/>
          <w:color w:val="000000" w:themeColor="text1"/>
          <w:shd w:val="clear" w:color="auto" w:fill="FFFFFF"/>
        </w:rPr>
        <w:t xml:space="preserve"> no es una</w:t>
      </w:r>
      <w:r w:rsidR="00EB4D56" w:rsidRPr="00EE25D1">
        <w:rPr>
          <w:rFonts w:ascii="Calibri" w:hAnsi="Calibri"/>
          <w:color w:val="000000" w:themeColor="text1"/>
          <w:shd w:val="clear" w:color="auto" w:fill="FFFFFF"/>
        </w:rPr>
        <w:t xml:space="preserve"> </w:t>
      </w:r>
      <w:r w:rsidR="00713CC7" w:rsidRPr="00EE25D1">
        <w:rPr>
          <w:rFonts w:ascii="Calibri" w:hAnsi="Calibri"/>
          <w:color w:val="000000" w:themeColor="text1"/>
          <w:shd w:val="clear" w:color="auto" w:fill="FFFFFF"/>
        </w:rPr>
        <w:t>“</w:t>
      </w:r>
      <w:r w:rsidR="00EB4D56" w:rsidRPr="00EE25D1">
        <w:rPr>
          <w:rFonts w:ascii="Calibri" w:hAnsi="Calibri"/>
          <w:color w:val="000000" w:themeColor="text1"/>
          <w:shd w:val="clear" w:color="auto" w:fill="FFFFFF"/>
        </w:rPr>
        <w:t>medida suficiente</w:t>
      </w:r>
      <w:r w:rsidR="00713CC7" w:rsidRPr="00EE25D1">
        <w:rPr>
          <w:rFonts w:ascii="Calibri" w:hAnsi="Calibri"/>
          <w:color w:val="000000" w:themeColor="text1"/>
          <w:shd w:val="clear" w:color="auto" w:fill="FFFFFF"/>
        </w:rPr>
        <w:t>”</w:t>
      </w:r>
      <w:r w:rsidR="00EB4D56" w:rsidRPr="00EE25D1">
        <w:rPr>
          <w:rFonts w:ascii="Calibri" w:hAnsi="Calibri"/>
          <w:color w:val="000000" w:themeColor="text1"/>
          <w:shd w:val="clear" w:color="auto" w:fill="FFFFFF"/>
        </w:rPr>
        <w:t>, avalando</w:t>
      </w:r>
      <w:r w:rsidR="00540479" w:rsidRPr="00EE25D1">
        <w:rPr>
          <w:rFonts w:ascii="Calibri" w:hAnsi="Calibri"/>
          <w:color w:val="000000" w:themeColor="text1"/>
          <w:shd w:val="clear" w:color="auto" w:fill="FFFFFF"/>
        </w:rPr>
        <w:t xml:space="preserve"> así la co</w:t>
      </w:r>
      <w:r w:rsidR="000F639F" w:rsidRPr="00EE25D1">
        <w:rPr>
          <w:rFonts w:ascii="Calibri" w:hAnsi="Calibri"/>
          <w:color w:val="000000" w:themeColor="text1"/>
          <w:shd w:val="clear" w:color="auto" w:fill="FFFFFF"/>
        </w:rPr>
        <w:t>nstitución</w:t>
      </w:r>
      <w:r w:rsidR="00540479" w:rsidRPr="00EE25D1">
        <w:rPr>
          <w:rFonts w:ascii="Calibri" w:hAnsi="Calibri"/>
          <w:color w:val="000000" w:themeColor="text1"/>
          <w:shd w:val="clear" w:color="auto" w:fill="FFFFFF"/>
        </w:rPr>
        <w:t xml:space="preserve"> de una curatela; todo dependerá de la interpretación que quepa hacer de la expresión </w:t>
      </w:r>
      <w:r w:rsidR="00713CC7" w:rsidRPr="00EE25D1">
        <w:rPr>
          <w:rFonts w:ascii="Calibri" w:hAnsi="Calibri"/>
          <w:color w:val="000000" w:themeColor="text1"/>
          <w:shd w:val="clear" w:color="auto" w:fill="FFFFFF"/>
        </w:rPr>
        <w:t>“</w:t>
      </w:r>
      <w:r w:rsidR="00540479" w:rsidRPr="00EE25D1">
        <w:rPr>
          <w:rFonts w:ascii="Calibri" w:hAnsi="Calibri"/>
          <w:color w:val="000000" w:themeColor="text1"/>
          <w:shd w:val="clear" w:color="auto" w:fill="FFFFFF"/>
        </w:rPr>
        <w:t>medida suficiente</w:t>
      </w:r>
      <w:r w:rsidR="00713CC7" w:rsidRPr="00EE25D1">
        <w:rPr>
          <w:rFonts w:ascii="Calibri" w:hAnsi="Calibri"/>
          <w:color w:val="000000" w:themeColor="text1"/>
          <w:shd w:val="clear" w:color="auto" w:fill="FFFFFF"/>
        </w:rPr>
        <w:t>”</w:t>
      </w:r>
      <w:r w:rsidR="00540479" w:rsidRPr="00EE25D1">
        <w:rPr>
          <w:rFonts w:ascii="Calibri" w:hAnsi="Calibri"/>
          <w:color w:val="000000" w:themeColor="text1"/>
          <w:shd w:val="clear" w:color="auto" w:fill="FFFFFF"/>
        </w:rPr>
        <w:t xml:space="preserve"> Otro argumento que podría respaldar la existencia de una curatela pese a la previa existencia de una</w:t>
      </w:r>
      <w:r w:rsidR="00C71F23" w:rsidRPr="00EE25D1">
        <w:rPr>
          <w:rFonts w:ascii="Calibri" w:hAnsi="Calibri"/>
          <w:color w:val="000000" w:themeColor="text1"/>
          <w:shd w:val="clear" w:color="auto" w:fill="FFFFFF"/>
        </w:rPr>
        <w:t xml:space="preserve"> guarda de hecho es el</w:t>
      </w:r>
      <w:r w:rsidR="000C0416" w:rsidRPr="00EE25D1">
        <w:rPr>
          <w:rFonts w:ascii="Calibri" w:hAnsi="Calibri"/>
          <w:color w:val="000000" w:themeColor="text1"/>
          <w:shd w:val="clear" w:color="auto" w:fill="FFFFFF"/>
        </w:rPr>
        <w:t xml:space="preserve"> artículo</w:t>
      </w:r>
      <w:r w:rsidR="00C71F23" w:rsidRPr="00EE25D1">
        <w:rPr>
          <w:rFonts w:ascii="Calibri" w:hAnsi="Calibri"/>
          <w:color w:val="000000" w:themeColor="text1"/>
          <w:shd w:val="clear" w:color="auto" w:fill="FFFFFF"/>
        </w:rPr>
        <w:t xml:space="preserve"> 276.5º</w:t>
      </w:r>
      <w:r w:rsidR="00045060" w:rsidRPr="00EE25D1">
        <w:rPr>
          <w:rFonts w:ascii="Calibri" w:hAnsi="Calibri"/>
          <w:color w:val="000000" w:themeColor="text1"/>
          <w:shd w:val="clear" w:color="auto" w:fill="FFFFFF"/>
        </w:rPr>
        <w:t>,</w:t>
      </w:r>
      <w:r w:rsidR="00540479" w:rsidRPr="00EE25D1">
        <w:rPr>
          <w:rFonts w:ascii="Calibri" w:hAnsi="Calibri"/>
          <w:color w:val="000000" w:themeColor="text1"/>
          <w:shd w:val="clear" w:color="auto" w:fill="FFFFFF"/>
        </w:rPr>
        <w:t xml:space="preserve"> que contempla </w:t>
      </w:r>
      <w:r w:rsidR="000F639F" w:rsidRPr="00EE25D1">
        <w:rPr>
          <w:rFonts w:ascii="Calibri" w:hAnsi="Calibri"/>
          <w:color w:val="000000" w:themeColor="text1"/>
          <w:shd w:val="clear" w:color="auto" w:fill="FFFFFF"/>
        </w:rPr>
        <w:t>como</w:t>
      </w:r>
      <w:r w:rsidR="00540479" w:rsidRPr="00EE25D1">
        <w:rPr>
          <w:rFonts w:ascii="Calibri" w:hAnsi="Calibri"/>
          <w:color w:val="000000" w:themeColor="text1"/>
          <w:shd w:val="clear" w:color="auto" w:fill="FFFFFF"/>
        </w:rPr>
        <w:t xml:space="preserve"> posible </w:t>
      </w:r>
      <w:r w:rsidR="000F639F" w:rsidRPr="00EE25D1">
        <w:rPr>
          <w:rFonts w:ascii="Calibri" w:hAnsi="Calibri"/>
          <w:color w:val="000000" w:themeColor="text1"/>
          <w:shd w:val="clear" w:color="auto" w:fill="FFFFFF"/>
        </w:rPr>
        <w:t xml:space="preserve">curador </w:t>
      </w:r>
      <w:r w:rsidR="00713CC7" w:rsidRPr="00EE25D1">
        <w:rPr>
          <w:rFonts w:ascii="Calibri" w:hAnsi="Calibri"/>
          <w:color w:val="000000" w:themeColor="text1"/>
          <w:shd w:val="clear" w:color="auto" w:fill="FFFFFF"/>
        </w:rPr>
        <w:t>“</w:t>
      </w:r>
      <w:r w:rsidR="000F639F" w:rsidRPr="00EE25D1">
        <w:rPr>
          <w:rFonts w:ascii="Calibri" w:hAnsi="Calibri"/>
          <w:color w:val="000000" w:themeColor="text1"/>
          <w:shd w:val="clear" w:color="auto" w:fill="FFFFFF"/>
        </w:rPr>
        <w:t>a</w:t>
      </w:r>
      <w:r w:rsidR="00540479" w:rsidRPr="00EE25D1">
        <w:rPr>
          <w:rFonts w:ascii="Calibri" w:hAnsi="Calibri"/>
          <w:color w:val="000000" w:themeColor="text1"/>
          <w:shd w:val="clear" w:color="auto" w:fill="FFFFFF"/>
        </w:rPr>
        <w:t xml:space="preserve"> quien estuviera actuando como guardador de hecho</w:t>
      </w:r>
      <w:r w:rsidR="00713CC7" w:rsidRPr="00EE25D1">
        <w:rPr>
          <w:rFonts w:ascii="Calibri" w:hAnsi="Calibri"/>
          <w:color w:val="000000" w:themeColor="text1"/>
          <w:shd w:val="clear" w:color="auto" w:fill="FFFFFF"/>
        </w:rPr>
        <w:t>”</w:t>
      </w:r>
      <w:r w:rsidR="00540479" w:rsidRPr="00EE25D1">
        <w:rPr>
          <w:rFonts w:ascii="Calibri" w:hAnsi="Calibri"/>
          <w:color w:val="000000" w:themeColor="text1"/>
          <w:shd w:val="clear" w:color="auto" w:fill="FFFFFF"/>
        </w:rPr>
        <w:t>. Si el legislador prevé el nombramiento del guardador</w:t>
      </w:r>
      <w:r w:rsidR="000F639F" w:rsidRPr="00EE25D1">
        <w:rPr>
          <w:rFonts w:ascii="Calibri" w:hAnsi="Calibri"/>
          <w:color w:val="000000" w:themeColor="text1"/>
          <w:shd w:val="clear" w:color="auto" w:fill="FFFFFF"/>
        </w:rPr>
        <w:t xml:space="preserve"> de hecho</w:t>
      </w:r>
      <w:r w:rsidR="00540479" w:rsidRPr="00EE25D1">
        <w:rPr>
          <w:rFonts w:ascii="Calibri" w:hAnsi="Calibri"/>
          <w:color w:val="000000" w:themeColor="text1"/>
          <w:shd w:val="clear" w:color="auto" w:fill="FFFFFF"/>
        </w:rPr>
        <w:t xml:space="preserve"> como curador está presuponiendo que, previa la </w:t>
      </w:r>
      <w:r w:rsidR="000F639F" w:rsidRPr="00EE25D1">
        <w:rPr>
          <w:rFonts w:ascii="Calibri" w:hAnsi="Calibri"/>
          <w:color w:val="000000" w:themeColor="text1"/>
          <w:shd w:val="clear" w:color="auto" w:fill="FFFFFF"/>
        </w:rPr>
        <w:t>constitución de una</w:t>
      </w:r>
      <w:r w:rsidR="00540479" w:rsidRPr="00EE25D1">
        <w:rPr>
          <w:rFonts w:ascii="Calibri" w:hAnsi="Calibri"/>
          <w:color w:val="000000" w:themeColor="text1"/>
          <w:shd w:val="clear" w:color="auto" w:fill="FFFFFF"/>
        </w:rPr>
        <w:t xml:space="preserve"> curatela, había una guarda de hecho y que el guardador estaba dispensando a la persona con discapacidad el apoyo que necesitaba; si pese a ello el legislador, implícitamente, prevé la constitución de la curatela, será porque, de las circunstancias del caso, como el supuesto que estamos analiza</w:t>
      </w:r>
      <w:r w:rsidR="00C01098" w:rsidRPr="00EE25D1">
        <w:rPr>
          <w:rFonts w:ascii="Calibri" w:hAnsi="Calibri"/>
          <w:color w:val="000000" w:themeColor="text1"/>
          <w:shd w:val="clear" w:color="auto" w:fill="FFFFFF"/>
        </w:rPr>
        <w:t>n</w:t>
      </w:r>
      <w:r w:rsidR="00540479" w:rsidRPr="00EE25D1">
        <w:rPr>
          <w:rFonts w:ascii="Calibri" w:hAnsi="Calibri"/>
          <w:color w:val="000000" w:themeColor="text1"/>
          <w:shd w:val="clear" w:color="auto" w:fill="FFFFFF"/>
        </w:rPr>
        <w:t xml:space="preserve">do, </w:t>
      </w:r>
      <w:r w:rsidR="00213EBB" w:rsidRPr="00EE25D1">
        <w:rPr>
          <w:rFonts w:ascii="Calibri" w:hAnsi="Calibri"/>
          <w:color w:val="000000" w:themeColor="text1"/>
          <w:shd w:val="clear" w:color="auto" w:fill="FFFFFF"/>
        </w:rPr>
        <w:t>resulta que la</w:t>
      </w:r>
      <w:r w:rsidR="00540479" w:rsidRPr="00EE25D1">
        <w:rPr>
          <w:rFonts w:ascii="Calibri" w:hAnsi="Calibri"/>
          <w:color w:val="000000" w:themeColor="text1"/>
          <w:shd w:val="clear" w:color="auto" w:fill="FFFFFF"/>
        </w:rPr>
        <w:t xml:space="preserve"> guarda de hecho no sea una medida</w:t>
      </w:r>
      <w:r w:rsidR="000F639F" w:rsidRPr="00EE25D1">
        <w:rPr>
          <w:rFonts w:ascii="Calibri" w:hAnsi="Calibri"/>
          <w:color w:val="000000" w:themeColor="text1"/>
          <w:shd w:val="clear" w:color="auto" w:fill="FFFFFF"/>
        </w:rPr>
        <w:t xml:space="preserve"> </w:t>
      </w:r>
      <w:r w:rsidR="00540479" w:rsidRPr="00EE25D1">
        <w:rPr>
          <w:rFonts w:ascii="Calibri" w:hAnsi="Calibri"/>
          <w:color w:val="000000" w:themeColor="text1"/>
          <w:shd w:val="clear" w:color="auto" w:fill="FFFFFF"/>
        </w:rPr>
        <w:t>suficiente</w:t>
      </w:r>
      <w:r w:rsidR="000F639F" w:rsidRPr="00EE25D1">
        <w:rPr>
          <w:rFonts w:ascii="Calibri" w:hAnsi="Calibri"/>
          <w:color w:val="000000" w:themeColor="text1"/>
          <w:shd w:val="clear" w:color="auto" w:fill="FFFFFF"/>
        </w:rPr>
        <w:t xml:space="preserve"> </w:t>
      </w:r>
      <w:r w:rsidR="000F639F" w:rsidRPr="00EE25D1">
        <w:rPr>
          <w:rFonts w:ascii="Calibri" w:hAnsi="Calibri"/>
          <w:i/>
          <w:color w:val="000000" w:themeColor="text1"/>
          <w:shd w:val="clear" w:color="auto" w:fill="FFFFFF"/>
        </w:rPr>
        <w:t>per se</w:t>
      </w:r>
      <w:r w:rsidR="00540479" w:rsidRPr="00EE25D1">
        <w:rPr>
          <w:rFonts w:ascii="Calibri" w:hAnsi="Calibri"/>
          <w:color w:val="000000" w:themeColor="text1"/>
          <w:shd w:val="clear" w:color="auto" w:fill="FFFFFF"/>
        </w:rPr>
        <w:t xml:space="preserve"> para l</w:t>
      </w:r>
      <w:r w:rsidR="000C0416" w:rsidRPr="00EE25D1">
        <w:rPr>
          <w:rFonts w:ascii="Calibri" w:hAnsi="Calibri"/>
          <w:color w:val="000000" w:themeColor="text1"/>
          <w:shd w:val="clear" w:color="auto" w:fill="FFFFFF"/>
        </w:rPr>
        <w:t>a persona con discapacidad (</w:t>
      </w:r>
      <w:r w:rsidR="00545FB7" w:rsidRPr="00EE25D1">
        <w:rPr>
          <w:rFonts w:ascii="Calibri" w:hAnsi="Calibri"/>
        </w:rPr>
        <w:t>art.</w:t>
      </w:r>
      <w:r w:rsidR="00540479" w:rsidRPr="00EE25D1">
        <w:rPr>
          <w:rFonts w:ascii="Calibri" w:hAnsi="Calibri"/>
          <w:color w:val="000000" w:themeColor="text1"/>
          <w:shd w:val="clear" w:color="auto" w:fill="FFFFFF"/>
        </w:rPr>
        <w:t xml:space="preserve"> 269 CC).</w:t>
      </w:r>
    </w:p>
    <w:p w:rsidR="001276DA" w:rsidRPr="00EE25D1" w:rsidRDefault="00EE10A2"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Par</w:t>
      </w:r>
      <w:r w:rsidR="00213EBB" w:rsidRPr="00EE25D1">
        <w:rPr>
          <w:rFonts w:ascii="Calibri" w:hAnsi="Calibri"/>
          <w:color w:val="000000" w:themeColor="text1"/>
          <w:shd w:val="clear" w:color="auto" w:fill="FFFFFF"/>
        </w:rPr>
        <w:t>a el caso de que no se secundara</w:t>
      </w:r>
      <w:r w:rsidRPr="00EE25D1">
        <w:rPr>
          <w:rFonts w:ascii="Calibri" w:hAnsi="Calibri"/>
          <w:color w:val="000000" w:themeColor="text1"/>
          <w:shd w:val="clear" w:color="auto" w:fill="FFFFFF"/>
        </w:rPr>
        <w:t xml:space="preserve"> esta última tesis y se acogiera la exégesis que han exteriorizado algunos Juzgados de negar la constitución de una curatela si el apoyo se estaba dispensado bajo una guarda de hecho, manejamos varias propuestas de solución en torno a la guarda de hec</w:t>
      </w:r>
      <w:r w:rsidR="00C71F23" w:rsidRPr="00EE25D1">
        <w:rPr>
          <w:rFonts w:ascii="Calibri" w:hAnsi="Calibri"/>
          <w:color w:val="000000" w:themeColor="text1"/>
          <w:shd w:val="clear" w:color="auto" w:fill="FFFFFF"/>
        </w:rPr>
        <w:t xml:space="preserve">ho y los </w:t>
      </w:r>
      <w:r w:rsidR="005051BC" w:rsidRPr="00EE25D1">
        <w:rPr>
          <w:rFonts w:ascii="Calibri" w:hAnsi="Calibri"/>
          <w:color w:val="000000" w:themeColor="text1"/>
          <w:shd w:val="clear" w:color="auto" w:fill="FFFFFF"/>
        </w:rPr>
        <w:t>artículos</w:t>
      </w:r>
      <w:r w:rsidR="00C71F23" w:rsidRPr="00EE25D1">
        <w:rPr>
          <w:rFonts w:ascii="Calibri" w:hAnsi="Calibri"/>
          <w:color w:val="000000" w:themeColor="text1"/>
          <w:shd w:val="clear" w:color="auto" w:fill="FFFFFF"/>
        </w:rPr>
        <w:t xml:space="preserve"> 1387 y 1393.1º </w:t>
      </w:r>
      <w:r w:rsidR="00C71F23" w:rsidRPr="00EE25D1">
        <w:rPr>
          <w:rFonts w:ascii="Calibri" w:hAnsi="Calibri"/>
        </w:rPr>
        <w:t>del Código Civil</w:t>
      </w:r>
      <w:r w:rsidRPr="00EE25D1">
        <w:rPr>
          <w:rFonts w:ascii="Calibri" w:hAnsi="Calibri"/>
          <w:color w:val="000000" w:themeColor="text1"/>
          <w:shd w:val="clear" w:color="auto" w:fill="FFFFFF"/>
        </w:rPr>
        <w:t xml:space="preserve">, no sin desconocer que algunos autores podrían rechazar nuestra línea afirmando que </w:t>
      </w:r>
      <w:r w:rsidR="00846160" w:rsidRPr="00EE25D1">
        <w:rPr>
          <w:rFonts w:ascii="Calibri" w:hAnsi="Calibri"/>
          <w:color w:val="000000" w:themeColor="text1"/>
          <w:shd w:val="clear" w:color="auto" w:fill="FFFFFF"/>
        </w:rPr>
        <w:t>la guarda de hecho no es</w:t>
      </w:r>
      <w:r w:rsidR="00E17A75" w:rsidRPr="00EE25D1">
        <w:rPr>
          <w:rFonts w:ascii="Calibri" w:hAnsi="Calibri"/>
          <w:color w:val="000000" w:themeColor="text1"/>
          <w:shd w:val="clear" w:color="auto" w:fill="FFFFFF"/>
        </w:rPr>
        <w:t xml:space="preserve"> equivalente a la curatela en el contexto de los citados artículos</w:t>
      </w:r>
      <w:r w:rsidR="00846160" w:rsidRPr="00EE25D1">
        <w:rPr>
          <w:rFonts w:ascii="Calibri" w:hAnsi="Calibri"/>
          <w:color w:val="000000" w:themeColor="text1"/>
          <w:shd w:val="clear" w:color="auto" w:fill="FFFFFF"/>
        </w:rPr>
        <w:t>,</w:t>
      </w:r>
      <w:r w:rsidR="00E17A75" w:rsidRPr="00EE25D1">
        <w:rPr>
          <w:rFonts w:ascii="Calibri" w:hAnsi="Calibri"/>
          <w:color w:val="000000" w:themeColor="text1"/>
          <w:shd w:val="clear" w:color="auto" w:fill="FFFFFF"/>
        </w:rPr>
        <w:t xml:space="preserve"> </w:t>
      </w:r>
      <w:r w:rsidR="00DD0132" w:rsidRPr="00EE25D1">
        <w:rPr>
          <w:rFonts w:ascii="Calibri" w:hAnsi="Calibri"/>
          <w:color w:val="000000" w:themeColor="text1"/>
          <w:shd w:val="clear" w:color="auto" w:fill="FFFFFF"/>
        </w:rPr>
        <w:t>pues</w:t>
      </w:r>
      <w:r w:rsidR="00E17A75" w:rsidRPr="00EE25D1">
        <w:rPr>
          <w:rFonts w:ascii="Calibri" w:hAnsi="Calibri"/>
          <w:color w:val="000000" w:themeColor="text1"/>
          <w:shd w:val="clear" w:color="auto" w:fill="FFFFFF"/>
        </w:rPr>
        <w:t xml:space="preserve"> toda norma que </w:t>
      </w:r>
      <w:r w:rsidR="00846160" w:rsidRPr="00EE25D1">
        <w:rPr>
          <w:rFonts w:ascii="Calibri" w:hAnsi="Calibri"/>
          <w:color w:val="000000" w:themeColor="text1"/>
          <w:shd w:val="clear" w:color="auto" w:fill="FFFFFF"/>
        </w:rPr>
        <w:t>restrinja</w:t>
      </w:r>
      <w:r w:rsidR="00E17A75" w:rsidRPr="00EE25D1">
        <w:rPr>
          <w:rFonts w:ascii="Calibri" w:hAnsi="Calibri"/>
          <w:color w:val="000000" w:themeColor="text1"/>
          <w:shd w:val="clear" w:color="auto" w:fill="FFFFFF"/>
        </w:rPr>
        <w:t xml:space="preserve"> los derechos de la persona con discapacidad debe ser objeto de una interpretación restrictiva, merced </w:t>
      </w:r>
      <w:r w:rsidR="00213EBB" w:rsidRPr="00EE25D1">
        <w:rPr>
          <w:rFonts w:ascii="Calibri" w:hAnsi="Calibri"/>
          <w:color w:val="000000" w:themeColor="text1"/>
          <w:shd w:val="clear" w:color="auto" w:fill="FFFFFF"/>
        </w:rPr>
        <w:t xml:space="preserve">a </w:t>
      </w:r>
      <w:r w:rsidR="00E17A75" w:rsidRPr="00EE25D1">
        <w:rPr>
          <w:rFonts w:ascii="Calibri" w:hAnsi="Calibri"/>
          <w:color w:val="000000" w:themeColor="text1"/>
          <w:shd w:val="clear" w:color="auto" w:fill="FFFFFF"/>
        </w:rPr>
        <w:t xml:space="preserve">la regla hermenéutica </w:t>
      </w:r>
      <w:r w:rsidR="00E17A75" w:rsidRPr="00EE25D1">
        <w:rPr>
          <w:rFonts w:ascii="Calibri" w:hAnsi="Calibri"/>
          <w:i/>
          <w:color w:val="000000" w:themeColor="text1"/>
          <w:shd w:val="clear" w:color="auto" w:fill="FFFFFF"/>
        </w:rPr>
        <w:t>odiosa sunt restrigenda</w:t>
      </w:r>
      <w:r w:rsidR="00C01098" w:rsidRPr="00EE25D1">
        <w:rPr>
          <w:rFonts w:ascii="Calibri" w:hAnsi="Calibri"/>
          <w:color w:val="000000" w:themeColor="text1"/>
          <w:shd w:val="clear" w:color="auto" w:fill="FFFFFF"/>
        </w:rPr>
        <w:t>. Veamos cuá</w:t>
      </w:r>
      <w:r w:rsidRPr="00EE25D1">
        <w:rPr>
          <w:rFonts w:ascii="Calibri" w:hAnsi="Calibri"/>
          <w:color w:val="000000" w:themeColor="text1"/>
          <w:shd w:val="clear" w:color="auto" w:fill="FFFFFF"/>
        </w:rPr>
        <w:t xml:space="preserve">l sería el resultado si siguiéramos un discurso adherido a la </w:t>
      </w:r>
      <w:r w:rsidR="00846160" w:rsidRPr="00EE25D1">
        <w:rPr>
          <w:rFonts w:ascii="Calibri" w:hAnsi="Calibri"/>
          <w:color w:val="000000" w:themeColor="text1"/>
          <w:shd w:val="clear" w:color="auto" w:fill="FFFFFF"/>
        </w:rPr>
        <w:t>interpretación teleológica y finalista</w:t>
      </w:r>
      <w:r w:rsidRPr="00EE25D1">
        <w:rPr>
          <w:rFonts w:ascii="Calibri" w:hAnsi="Calibri"/>
          <w:color w:val="000000" w:themeColor="text1"/>
          <w:shd w:val="clear" w:color="auto" w:fill="FFFFFF"/>
        </w:rPr>
        <w:t xml:space="preserve"> de los citados artículos</w:t>
      </w:r>
      <w:r w:rsidR="001276DA" w:rsidRPr="00EE25D1">
        <w:rPr>
          <w:rFonts w:ascii="Calibri" w:hAnsi="Calibri"/>
          <w:color w:val="000000" w:themeColor="text1"/>
          <w:shd w:val="clear" w:color="auto" w:fill="FFFFFF"/>
        </w:rPr>
        <w:t>, a pesar de la marginación que protagoniza el legislador patrio, en el contexto de la sociedad de gananciales, a la medida d</w:t>
      </w:r>
      <w:r w:rsidR="009F68E3" w:rsidRPr="00EE25D1">
        <w:rPr>
          <w:rFonts w:ascii="Calibri" w:hAnsi="Calibri"/>
          <w:color w:val="000000" w:themeColor="text1"/>
          <w:shd w:val="clear" w:color="auto" w:fill="FFFFFF"/>
        </w:rPr>
        <w:t xml:space="preserve">e apoyo informal más relevante de </w:t>
      </w:r>
      <w:r w:rsidR="001276DA" w:rsidRPr="00EE25D1">
        <w:rPr>
          <w:rFonts w:ascii="Calibri" w:hAnsi="Calibri"/>
          <w:color w:val="000000" w:themeColor="text1"/>
          <w:shd w:val="clear" w:color="auto" w:fill="FFFFFF"/>
        </w:rPr>
        <w:t>la LAPCD.</w:t>
      </w:r>
    </w:p>
    <w:p w:rsidR="00A72D39" w:rsidRPr="00EE25D1" w:rsidRDefault="00A72D39"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Si la finalidad del</w:t>
      </w:r>
      <w:r w:rsidR="000C0416" w:rsidRPr="00EE25D1">
        <w:rPr>
          <w:rFonts w:ascii="Calibri" w:hAnsi="Calibri"/>
          <w:color w:val="000000" w:themeColor="text1"/>
          <w:shd w:val="clear" w:color="auto" w:fill="FFFFFF"/>
        </w:rPr>
        <w:t xml:space="preserve">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1387 </w:t>
      </w:r>
      <w:r w:rsidR="000F639F" w:rsidRPr="00EE25D1">
        <w:rPr>
          <w:rFonts w:ascii="Calibri" w:hAnsi="Calibri"/>
          <w:color w:val="000000" w:themeColor="text1"/>
          <w:shd w:val="clear" w:color="auto" w:fill="FFFFFF"/>
        </w:rPr>
        <w:t>es que el cónyuge</w:t>
      </w:r>
      <w:r w:rsidR="00846160" w:rsidRPr="00EE25D1">
        <w:rPr>
          <w:rFonts w:ascii="Calibri" w:hAnsi="Calibri"/>
          <w:color w:val="000000" w:themeColor="text1"/>
          <w:shd w:val="clear" w:color="auto" w:fill="FFFFFF"/>
        </w:rPr>
        <w:t xml:space="preserve"> que ost</w:t>
      </w:r>
      <w:r w:rsidR="001276DA" w:rsidRPr="00EE25D1">
        <w:rPr>
          <w:rFonts w:ascii="Calibri" w:hAnsi="Calibri"/>
          <w:color w:val="000000" w:themeColor="text1"/>
          <w:shd w:val="clear" w:color="auto" w:fill="FFFFFF"/>
        </w:rPr>
        <w:t>enta la representación del otro</w:t>
      </w:r>
      <w:r w:rsidR="00213EBB" w:rsidRPr="00EE25D1">
        <w:rPr>
          <w:rFonts w:ascii="Calibri" w:hAnsi="Calibri"/>
          <w:color w:val="000000" w:themeColor="text1"/>
          <w:shd w:val="clear" w:color="auto" w:fill="FFFFFF"/>
        </w:rPr>
        <w:t xml:space="preserve"> no se vea encorsetado </w:t>
      </w:r>
      <w:r w:rsidR="00846160" w:rsidRPr="00EE25D1">
        <w:rPr>
          <w:rFonts w:ascii="Calibri" w:hAnsi="Calibri"/>
          <w:color w:val="000000" w:themeColor="text1"/>
          <w:shd w:val="clear" w:color="auto" w:fill="FFFFFF"/>
        </w:rPr>
        <w:t xml:space="preserve">en la gestión de la sociedad de gananciales, lo mismo dará que dicha representación, motivada por la falta de facultades cognitivas e intelectivas </w:t>
      </w:r>
      <w:r w:rsidR="005F57BB" w:rsidRPr="00EE25D1">
        <w:rPr>
          <w:rFonts w:ascii="Calibri" w:hAnsi="Calibri"/>
          <w:color w:val="000000" w:themeColor="text1"/>
          <w:shd w:val="clear" w:color="auto" w:fill="FFFFFF"/>
        </w:rPr>
        <w:t>del</w:t>
      </w:r>
      <w:r w:rsidR="000F639F" w:rsidRPr="00EE25D1">
        <w:rPr>
          <w:rFonts w:ascii="Calibri" w:hAnsi="Calibri"/>
          <w:color w:val="000000" w:themeColor="text1"/>
          <w:shd w:val="clear" w:color="auto" w:fill="FFFFFF"/>
        </w:rPr>
        <w:t xml:space="preserve"> consorte, tenga el traje de </w:t>
      </w:r>
      <w:r w:rsidR="005F57BB" w:rsidRPr="00EE25D1">
        <w:rPr>
          <w:rFonts w:ascii="Calibri" w:hAnsi="Calibri"/>
          <w:color w:val="000000" w:themeColor="text1"/>
          <w:shd w:val="clear" w:color="auto" w:fill="FFFFFF"/>
        </w:rPr>
        <w:t>curatela o de guarda de hecho, dada cuenta que ambas se tratan de medidas de apoyo</w:t>
      </w:r>
      <w:r w:rsidR="008C5AB5" w:rsidRPr="00EE25D1">
        <w:rPr>
          <w:rFonts w:ascii="Calibri" w:hAnsi="Calibri"/>
          <w:color w:val="000000" w:themeColor="text1"/>
          <w:shd w:val="clear" w:color="auto" w:fill="FFFFFF"/>
        </w:rPr>
        <w:t>,</w:t>
      </w:r>
      <w:r w:rsidR="005F57BB" w:rsidRPr="00EE25D1">
        <w:rPr>
          <w:rFonts w:ascii="Calibri" w:hAnsi="Calibri"/>
          <w:color w:val="000000" w:themeColor="text1"/>
          <w:shd w:val="clear" w:color="auto" w:fill="FFFFFF"/>
        </w:rPr>
        <w:t xml:space="preserve"> con la principal diferencia</w:t>
      </w:r>
      <w:r w:rsidR="008C5AB5" w:rsidRPr="00EE25D1">
        <w:rPr>
          <w:rFonts w:ascii="Calibri" w:hAnsi="Calibri"/>
          <w:color w:val="000000" w:themeColor="text1"/>
          <w:shd w:val="clear" w:color="auto" w:fill="FFFFFF"/>
        </w:rPr>
        <w:t xml:space="preserve">, entre otras, </w:t>
      </w:r>
      <w:r w:rsidR="005F57BB" w:rsidRPr="00EE25D1">
        <w:rPr>
          <w:rFonts w:ascii="Calibri" w:hAnsi="Calibri"/>
          <w:color w:val="000000" w:themeColor="text1"/>
          <w:shd w:val="clear" w:color="auto" w:fill="FFFFFF"/>
        </w:rPr>
        <w:t>que la primera es</w:t>
      </w:r>
      <w:r w:rsidR="000F639F" w:rsidRPr="00EE25D1">
        <w:rPr>
          <w:rFonts w:ascii="Calibri" w:hAnsi="Calibri"/>
          <w:color w:val="000000" w:themeColor="text1"/>
          <w:shd w:val="clear" w:color="auto" w:fill="FFFFFF"/>
        </w:rPr>
        <w:t xml:space="preserve"> formal y la segunda informal, manifestándose el ligamen entre ambas medidas en la técnica que emplea el legislador para determinar los actos en lo</w:t>
      </w:r>
      <w:r w:rsidR="00213EBB" w:rsidRPr="00EE25D1">
        <w:rPr>
          <w:rFonts w:ascii="Calibri" w:hAnsi="Calibri"/>
          <w:color w:val="000000" w:themeColor="text1"/>
          <w:shd w:val="clear" w:color="auto" w:fill="FFFFFF"/>
        </w:rPr>
        <w:t>s</w:t>
      </w:r>
      <w:r w:rsidR="000F639F" w:rsidRPr="00EE25D1">
        <w:rPr>
          <w:rFonts w:ascii="Calibri" w:hAnsi="Calibri"/>
          <w:color w:val="000000" w:themeColor="text1"/>
          <w:shd w:val="clear" w:color="auto" w:fill="FFFFFF"/>
        </w:rPr>
        <w:t xml:space="preserve"> que el guardador de hecho precisará de autorización judicial, remitiéndose a </w:t>
      </w:r>
      <w:r w:rsidR="00754B5A" w:rsidRPr="00EE25D1">
        <w:rPr>
          <w:rFonts w:ascii="Calibri" w:hAnsi="Calibri"/>
          <w:color w:val="000000" w:themeColor="text1"/>
          <w:shd w:val="clear" w:color="auto" w:fill="FFFFFF"/>
        </w:rPr>
        <w:t>la</w:t>
      </w:r>
      <w:r w:rsidR="00FC7DA7" w:rsidRPr="00EE25D1">
        <w:rPr>
          <w:rFonts w:ascii="Calibri" w:hAnsi="Calibri"/>
          <w:color w:val="000000" w:themeColor="text1"/>
          <w:shd w:val="clear" w:color="auto" w:fill="FFFFFF"/>
        </w:rPr>
        <w:t>s reglas de la</w:t>
      </w:r>
      <w:r w:rsidR="00754B5A" w:rsidRPr="00EE25D1">
        <w:rPr>
          <w:rFonts w:ascii="Calibri" w:hAnsi="Calibri"/>
          <w:color w:val="000000" w:themeColor="text1"/>
          <w:shd w:val="clear" w:color="auto" w:fill="FFFFFF"/>
        </w:rPr>
        <w:t xml:space="preserve"> curatela (</w:t>
      </w:r>
      <w:r w:rsidR="00754B5A" w:rsidRPr="00EE25D1">
        <w:rPr>
          <w:rFonts w:ascii="Calibri" w:hAnsi="Calibri"/>
          <w:i/>
          <w:color w:val="000000" w:themeColor="text1"/>
          <w:shd w:val="clear" w:color="auto" w:fill="FFFFFF"/>
        </w:rPr>
        <w:t>cfr</w:t>
      </w:r>
      <w:r w:rsidR="000C0416" w:rsidRPr="00EE25D1">
        <w:rPr>
          <w:rFonts w:ascii="Calibri" w:hAnsi="Calibri"/>
          <w:color w:val="000000" w:themeColor="text1"/>
          <w:shd w:val="clear" w:color="auto" w:fill="FFFFFF"/>
        </w:rPr>
        <w:t xml:space="preserve">. </w:t>
      </w:r>
      <w:r w:rsidR="00545FB7" w:rsidRPr="00EE25D1">
        <w:rPr>
          <w:rFonts w:ascii="Calibri" w:hAnsi="Calibri"/>
        </w:rPr>
        <w:t>arts.</w:t>
      </w:r>
      <w:r w:rsidR="00754B5A" w:rsidRPr="00EE25D1">
        <w:rPr>
          <w:rFonts w:ascii="Calibri" w:hAnsi="Calibri"/>
          <w:color w:val="000000" w:themeColor="text1"/>
          <w:shd w:val="clear" w:color="auto" w:fill="FFFFFF"/>
        </w:rPr>
        <w:t xml:space="preserve"> 264 y 287 CC).</w:t>
      </w:r>
    </w:p>
    <w:p w:rsidR="00422739" w:rsidRPr="00EE25D1" w:rsidRDefault="00C01098"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No obstante, el principal escoll</w:t>
      </w:r>
      <w:r w:rsidR="00FC7DA7" w:rsidRPr="00EE25D1">
        <w:rPr>
          <w:rFonts w:ascii="Calibri" w:hAnsi="Calibri"/>
          <w:color w:val="000000" w:themeColor="text1"/>
          <w:shd w:val="clear" w:color="auto" w:fill="FFFFFF"/>
        </w:rPr>
        <w:t>o que encontramos en subsumir la guarda de hecho con facultades de r</w:t>
      </w:r>
      <w:r w:rsidR="000C0416" w:rsidRPr="00EE25D1">
        <w:rPr>
          <w:rFonts w:ascii="Calibri" w:hAnsi="Calibri"/>
          <w:color w:val="000000" w:themeColor="text1"/>
          <w:shd w:val="clear" w:color="auto" w:fill="FFFFFF"/>
        </w:rPr>
        <w:t xml:space="preserve">epresentación en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1387</w:t>
      </w:r>
      <w:r w:rsidR="00FC7DA7" w:rsidRPr="00EE25D1">
        <w:rPr>
          <w:rFonts w:ascii="Calibri" w:hAnsi="Calibri"/>
          <w:color w:val="000000" w:themeColor="text1"/>
          <w:shd w:val="clear" w:color="auto" w:fill="FFFFFF"/>
        </w:rPr>
        <w:t>,</w:t>
      </w:r>
      <w:r w:rsidR="000C0416" w:rsidRPr="00EE25D1">
        <w:rPr>
          <w:rFonts w:ascii="Calibri" w:hAnsi="Calibri"/>
          <w:color w:val="000000" w:themeColor="text1"/>
          <w:shd w:val="clear" w:color="auto" w:fill="FFFFFF"/>
        </w:rPr>
        <w:t xml:space="preserve"> e incluso en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1393.1º</w:t>
      </w:r>
      <w:r w:rsidR="00FC7DA7" w:rsidRPr="00EE25D1">
        <w:rPr>
          <w:rFonts w:ascii="Calibri" w:hAnsi="Calibri"/>
          <w:color w:val="000000" w:themeColor="text1"/>
          <w:shd w:val="clear" w:color="auto" w:fill="FFFFFF"/>
        </w:rPr>
        <w:t>, es que el legislador dispone que</w:t>
      </w:r>
      <w:r w:rsidR="003B2BCB" w:rsidRPr="00EE25D1">
        <w:rPr>
          <w:rFonts w:ascii="Calibri" w:hAnsi="Calibri"/>
          <w:color w:val="000000" w:themeColor="text1"/>
          <w:shd w:val="clear" w:color="auto" w:fill="FFFFFF"/>
        </w:rPr>
        <w:t xml:space="preserve"> cuando se requiera la actuación representativa del guardador de hecho, este </w:t>
      </w:r>
      <w:r w:rsidR="00FC7DA7" w:rsidRPr="00EE25D1">
        <w:rPr>
          <w:rFonts w:ascii="Calibri" w:hAnsi="Calibri"/>
          <w:color w:val="000000" w:themeColor="text1"/>
          <w:shd w:val="clear" w:color="auto" w:fill="FFFFFF"/>
        </w:rPr>
        <w:t>deberá solicitar una autorización judicial, ex</w:t>
      </w:r>
      <w:r w:rsidR="00213EBB" w:rsidRPr="00EE25D1">
        <w:rPr>
          <w:rFonts w:ascii="Calibri" w:hAnsi="Calibri"/>
          <w:color w:val="000000" w:themeColor="text1"/>
          <w:shd w:val="clear" w:color="auto" w:fill="FFFFFF"/>
        </w:rPr>
        <w:t>onerándose</w:t>
      </w:r>
      <w:r w:rsidR="00FC7DA7" w:rsidRPr="00EE25D1">
        <w:rPr>
          <w:rFonts w:ascii="Calibri" w:hAnsi="Calibri"/>
          <w:color w:val="000000" w:themeColor="text1"/>
          <w:shd w:val="clear" w:color="auto" w:fill="FFFFFF"/>
        </w:rPr>
        <w:t xml:space="preserve"> aquellas actuaciones en las que el guardado solicite </w:t>
      </w:r>
      <w:r w:rsidR="00713CC7" w:rsidRPr="00EE25D1">
        <w:rPr>
          <w:rFonts w:ascii="Calibri" w:hAnsi="Calibri"/>
          <w:color w:val="000000" w:themeColor="text1"/>
          <w:shd w:val="clear" w:color="auto" w:fill="FFFFFF"/>
        </w:rPr>
        <w:t>“</w:t>
      </w:r>
      <w:r w:rsidR="00FC7DA7" w:rsidRPr="00EE25D1">
        <w:rPr>
          <w:rFonts w:ascii="Calibri" w:hAnsi="Calibri"/>
          <w:color w:val="000000" w:themeColor="text1"/>
          <w:shd w:val="clear" w:color="auto" w:fill="FFFFFF"/>
        </w:rPr>
        <w:t>una prestación económica a favor de la persona con discapacidad</w:t>
      </w:r>
      <w:r w:rsidR="00713CC7" w:rsidRPr="00EE25D1">
        <w:rPr>
          <w:rFonts w:ascii="Calibri" w:hAnsi="Calibri"/>
          <w:color w:val="000000" w:themeColor="text1"/>
          <w:shd w:val="clear" w:color="auto" w:fill="FFFFFF"/>
        </w:rPr>
        <w:t>”</w:t>
      </w:r>
      <w:r w:rsidR="00FC7DA7" w:rsidRPr="00EE25D1">
        <w:rPr>
          <w:rFonts w:ascii="Calibri" w:hAnsi="Calibri"/>
          <w:color w:val="000000" w:themeColor="text1"/>
          <w:shd w:val="clear" w:color="auto" w:fill="FFFFFF"/>
        </w:rPr>
        <w:t xml:space="preserve">, si no implica un cambio </w:t>
      </w:r>
      <w:r w:rsidR="00213EBB" w:rsidRPr="00EE25D1">
        <w:rPr>
          <w:rFonts w:ascii="Calibri" w:hAnsi="Calibri"/>
          <w:color w:val="000000" w:themeColor="text1"/>
          <w:shd w:val="clear" w:color="auto" w:fill="FFFFFF"/>
        </w:rPr>
        <w:t>significativo</w:t>
      </w:r>
      <w:r w:rsidR="000F639F" w:rsidRPr="00EE25D1">
        <w:rPr>
          <w:rFonts w:ascii="Calibri" w:hAnsi="Calibri"/>
          <w:color w:val="000000" w:themeColor="text1"/>
          <w:shd w:val="clear" w:color="auto" w:fill="FFFFFF"/>
        </w:rPr>
        <w:t xml:space="preserve"> en la forma de vida</w:t>
      </w:r>
      <w:r w:rsidR="00FC7DA7" w:rsidRPr="00EE25D1">
        <w:rPr>
          <w:rFonts w:ascii="Calibri" w:hAnsi="Calibri"/>
          <w:color w:val="000000" w:themeColor="text1"/>
          <w:shd w:val="clear" w:color="auto" w:fill="FFFFFF"/>
        </w:rPr>
        <w:t xml:space="preserve"> de la persona, </w:t>
      </w:r>
      <w:r w:rsidR="00713CC7" w:rsidRPr="00EE25D1">
        <w:rPr>
          <w:rFonts w:ascii="Calibri" w:hAnsi="Calibri"/>
          <w:color w:val="000000" w:themeColor="text1"/>
          <w:shd w:val="clear" w:color="auto" w:fill="FFFFFF"/>
        </w:rPr>
        <w:t>“</w:t>
      </w:r>
      <w:r w:rsidR="00FC7DA7" w:rsidRPr="00EE25D1">
        <w:rPr>
          <w:rFonts w:ascii="Calibri" w:hAnsi="Calibri"/>
          <w:color w:val="000000" w:themeColor="text1"/>
          <w:shd w:val="clear" w:color="auto" w:fill="FFFFFF"/>
        </w:rPr>
        <w:t>o realice actos jurídicos sobre bienes de esta que tenga escasa relevancia económica y carezca de especial significado personal o familiar</w:t>
      </w:r>
      <w:r w:rsidR="00713CC7" w:rsidRPr="00EE25D1">
        <w:rPr>
          <w:rFonts w:ascii="Calibri" w:hAnsi="Calibri"/>
          <w:color w:val="000000" w:themeColor="text1"/>
          <w:shd w:val="clear" w:color="auto" w:fill="FFFFFF"/>
        </w:rPr>
        <w:t>”</w:t>
      </w:r>
      <w:r w:rsidR="000C0416" w:rsidRPr="00EE25D1">
        <w:rPr>
          <w:rFonts w:ascii="Calibri" w:hAnsi="Calibri"/>
          <w:color w:val="000000" w:themeColor="text1"/>
          <w:shd w:val="clear" w:color="auto" w:fill="FFFFFF"/>
        </w:rPr>
        <w:t xml:space="preserve"> (</w:t>
      </w:r>
      <w:r w:rsidR="00545FB7" w:rsidRPr="00EE25D1">
        <w:rPr>
          <w:rFonts w:ascii="Calibri" w:hAnsi="Calibri"/>
        </w:rPr>
        <w:t>art.</w:t>
      </w:r>
      <w:r w:rsidR="00FC7DA7" w:rsidRPr="00EE25D1">
        <w:rPr>
          <w:rFonts w:ascii="Calibri" w:hAnsi="Calibri"/>
          <w:color w:val="000000" w:themeColor="text1"/>
          <w:shd w:val="clear" w:color="auto" w:fill="FFFFFF"/>
        </w:rPr>
        <w:t xml:space="preserve"> 264 CC). De lo expuesto resulta que, mientras que la curatela se constituye por mor de una resolució</w:t>
      </w:r>
      <w:r w:rsidR="00213EBB" w:rsidRPr="00EE25D1">
        <w:rPr>
          <w:rFonts w:ascii="Calibri" w:hAnsi="Calibri"/>
          <w:color w:val="000000" w:themeColor="text1"/>
          <w:shd w:val="clear" w:color="auto" w:fill="FFFFFF"/>
        </w:rPr>
        <w:t xml:space="preserve">n judicial y en la misma quedan reflejados </w:t>
      </w:r>
      <w:r w:rsidR="00FC7DA7" w:rsidRPr="00EE25D1">
        <w:rPr>
          <w:rFonts w:ascii="Calibri" w:hAnsi="Calibri"/>
          <w:color w:val="000000" w:themeColor="text1"/>
          <w:shd w:val="clear" w:color="auto" w:fill="FFFFFF"/>
        </w:rPr>
        <w:t>los actos a los que se extiende la representación, la guarda de hecho, c</w:t>
      </w:r>
      <w:r w:rsidR="000F639F" w:rsidRPr="00EE25D1">
        <w:rPr>
          <w:rFonts w:ascii="Calibri" w:hAnsi="Calibri"/>
          <w:color w:val="000000" w:themeColor="text1"/>
          <w:shd w:val="clear" w:color="auto" w:fill="FFFFFF"/>
        </w:rPr>
        <w:t xml:space="preserve">omo medida de apoyo informal que </w:t>
      </w:r>
      <w:r w:rsidR="00FC7DA7" w:rsidRPr="00EE25D1">
        <w:rPr>
          <w:rFonts w:ascii="Calibri" w:hAnsi="Calibri"/>
          <w:color w:val="000000" w:themeColor="text1"/>
          <w:shd w:val="clear" w:color="auto" w:fill="FFFFFF"/>
        </w:rPr>
        <w:t>e</w:t>
      </w:r>
      <w:r w:rsidR="000F639F" w:rsidRPr="00EE25D1">
        <w:rPr>
          <w:rFonts w:ascii="Calibri" w:hAnsi="Calibri"/>
          <w:color w:val="000000" w:themeColor="text1"/>
          <w:shd w:val="clear" w:color="auto" w:fill="FFFFFF"/>
        </w:rPr>
        <w:t xml:space="preserve">s, </w:t>
      </w:r>
      <w:r w:rsidR="00713133" w:rsidRPr="00EE25D1">
        <w:rPr>
          <w:rFonts w:ascii="Calibri" w:hAnsi="Calibri"/>
          <w:color w:val="000000" w:themeColor="text1"/>
          <w:shd w:val="clear" w:color="auto" w:fill="FFFFFF"/>
        </w:rPr>
        <w:t>a veces no tendrá de comparsa</w:t>
      </w:r>
      <w:r w:rsidR="00FC7DA7" w:rsidRPr="00EE25D1">
        <w:rPr>
          <w:rFonts w:ascii="Calibri" w:hAnsi="Calibri"/>
          <w:color w:val="000000" w:themeColor="text1"/>
          <w:shd w:val="clear" w:color="auto" w:fill="FFFFFF"/>
        </w:rPr>
        <w:t xml:space="preserve"> ninguna resolución judicial, porque es perfectamente factible que la guarda esté ligada a facultades de repr</w:t>
      </w:r>
      <w:r w:rsidR="006705C5" w:rsidRPr="00EE25D1">
        <w:rPr>
          <w:rFonts w:ascii="Calibri" w:hAnsi="Calibri"/>
          <w:color w:val="000000" w:themeColor="text1"/>
          <w:shd w:val="clear" w:color="auto" w:fill="FFFFFF"/>
        </w:rPr>
        <w:t>esentación</w:t>
      </w:r>
      <w:r w:rsidR="00FC7DA7" w:rsidRPr="00EE25D1">
        <w:rPr>
          <w:rFonts w:ascii="Calibri" w:hAnsi="Calibri"/>
          <w:color w:val="000000" w:themeColor="text1"/>
          <w:shd w:val="clear" w:color="auto" w:fill="FFFFFF"/>
        </w:rPr>
        <w:t xml:space="preserve"> y esté huérfana de una resolución judicial, </w:t>
      </w:r>
      <w:r w:rsidR="00213EBB" w:rsidRPr="00EE25D1">
        <w:rPr>
          <w:rFonts w:ascii="Calibri" w:hAnsi="Calibri"/>
          <w:color w:val="000000" w:themeColor="text1"/>
          <w:shd w:val="clear" w:color="auto" w:fill="FFFFFF"/>
        </w:rPr>
        <w:t>al haberse extendido</w:t>
      </w:r>
      <w:r w:rsidR="00FC7DA7" w:rsidRPr="00EE25D1">
        <w:rPr>
          <w:rFonts w:ascii="Calibri" w:hAnsi="Calibri"/>
          <w:color w:val="000000" w:themeColor="text1"/>
          <w:shd w:val="clear" w:color="auto" w:fill="FFFFFF"/>
        </w:rPr>
        <w:t xml:space="preserve"> la representación, única y exclusivamente, a los actos enumerados en e</w:t>
      </w:r>
      <w:r w:rsidR="00C71F23" w:rsidRPr="00EE25D1">
        <w:rPr>
          <w:rFonts w:ascii="Calibri" w:hAnsi="Calibri"/>
          <w:color w:val="000000" w:themeColor="text1"/>
          <w:shd w:val="clear" w:color="auto" w:fill="FFFFFF"/>
        </w:rPr>
        <w:t xml:space="preserve">l tercer párrafo del </w:t>
      </w:r>
      <w:r w:rsidR="000C0416" w:rsidRPr="00EE25D1">
        <w:rPr>
          <w:rFonts w:ascii="Calibri" w:hAnsi="Calibri"/>
        </w:rPr>
        <w:t>artículo</w:t>
      </w:r>
      <w:r w:rsidR="000C0416" w:rsidRPr="00EE25D1">
        <w:rPr>
          <w:rFonts w:ascii="Calibri" w:hAnsi="Calibri"/>
          <w:color w:val="000000" w:themeColor="text1"/>
          <w:shd w:val="clear" w:color="auto" w:fill="FFFFFF"/>
        </w:rPr>
        <w:t xml:space="preserve"> </w:t>
      </w:r>
      <w:r w:rsidR="00C71F23" w:rsidRPr="00EE25D1">
        <w:rPr>
          <w:rFonts w:ascii="Calibri" w:hAnsi="Calibri"/>
          <w:color w:val="000000" w:themeColor="text1"/>
          <w:shd w:val="clear" w:color="auto" w:fill="FFFFFF"/>
        </w:rPr>
        <w:t>264</w:t>
      </w:r>
      <w:r w:rsidR="00FC7DA7" w:rsidRPr="00EE25D1">
        <w:rPr>
          <w:rFonts w:ascii="Calibri" w:hAnsi="Calibri"/>
          <w:color w:val="000000" w:themeColor="text1"/>
          <w:shd w:val="clear" w:color="auto" w:fill="FFFFFF"/>
        </w:rPr>
        <w:t xml:space="preserve">. </w:t>
      </w:r>
      <w:r w:rsidR="00422739" w:rsidRPr="00EE25D1">
        <w:rPr>
          <w:rFonts w:ascii="Calibri" w:hAnsi="Calibri"/>
          <w:color w:val="000000" w:themeColor="text1"/>
          <w:shd w:val="clear" w:color="auto" w:fill="FFFFFF"/>
        </w:rPr>
        <w:t>El lector, en este laberinto, podría aventurarse a proponer dos soluciones:</w:t>
      </w:r>
    </w:p>
    <w:p w:rsidR="00F6621E" w:rsidRPr="00EE25D1" w:rsidRDefault="00422739"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La primera se basaría en que el guardador de hecho acudiera el Juzgado a fin de que este declare la existencia de una guarda de hecho con facultades de representación en la empresa de que el cónyuge pu</w:t>
      </w:r>
      <w:r w:rsidR="00F748FE" w:rsidRPr="00EE25D1">
        <w:rPr>
          <w:rFonts w:ascii="Calibri" w:hAnsi="Calibri"/>
          <w:color w:val="000000" w:themeColor="text1"/>
          <w:shd w:val="clear" w:color="auto" w:fill="FFFFFF"/>
        </w:rPr>
        <w:t>diera</w:t>
      </w:r>
      <w:r w:rsidRPr="00EE25D1">
        <w:rPr>
          <w:rFonts w:ascii="Calibri" w:hAnsi="Calibri"/>
          <w:color w:val="000000" w:themeColor="text1"/>
          <w:shd w:val="clear" w:color="auto" w:fill="FFFFFF"/>
        </w:rPr>
        <w:t xml:space="preserve"> act</w:t>
      </w:r>
      <w:r w:rsidR="005051BC" w:rsidRPr="00EE25D1">
        <w:rPr>
          <w:rFonts w:ascii="Calibri" w:hAnsi="Calibri"/>
          <w:color w:val="000000" w:themeColor="text1"/>
          <w:shd w:val="clear" w:color="auto" w:fill="FFFFFF"/>
        </w:rPr>
        <w:t>ivar los artículos</w:t>
      </w:r>
      <w:r w:rsidR="00C71F23" w:rsidRPr="00EE25D1">
        <w:rPr>
          <w:rFonts w:ascii="Calibri" w:hAnsi="Calibri"/>
          <w:color w:val="000000" w:themeColor="text1"/>
          <w:shd w:val="clear" w:color="auto" w:fill="FFFFFF"/>
        </w:rPr>
        <w:t xml:space="preserve"> 1387 y 1393.1º </w:t>
      </w:r>
      <w:r w:rsidR="00C71F23" w:rsidRPr="00EE25D1">
        <w:rPr>
          <w:rFonts w:ascii="Calibri" w:hAnsi="Calibri"/>
        </w:rPr>
        <w:t>del Código Civil</w:t>
      </w:r>
      <w:r w:rsidRPr="00EE25D1">
        <w:rPr>
          <w:rFonts w:ascii="Calibri" w:hAnsi="Calibri"/>
          <w:color w:val="000000" w:themeColor="text1"/>
          <w:shd w:val="clear" w:color="auto" w:fill="FFFFFF"/>
        </w:rPr>
        <w:t>.</w:t>
      </w:r>
      <w:r w:rsidR="009011A2" w:rsidRPr="00EE25D1">
        <w:rPr>
          <w:rFonts w:ascii="Calibri" w:hAnsi="Calibri"/>
          <w:color w:val="000000" w:themeColor="text1"/>
          <w:shd w:val="clear" w:color="auto" w:fill="FFFFFF"/>
        </w:rPr>
        <w:t xml:space="preserve"> Descartamos de plano</w:t>
      </w:r>
      <w:r w:rsidR="00F748FE" w:rsidRPr="00EE25D1">
        <w:rPr>
          <w:rFonts w:ascii="Calibri" w:hAnsi="Calibri"/>
          <w:color w:val="000000" w:themeColor="text1"/>
          <w:shd w:val="clear" w:color="auto" w:fill="FFFFFF"/>
        </w:rPr>
        <w:t xml:space="preserve"> esta posibilidad, </w:t>
      </w:r>
      <w:r w:rsidR="00995818" w:rsidRPr="00EE25D1">
        <w:rPr>
          <w:rFonts w:ascii="Calibri" w:hAnsi="Calibri"/>
          <w:color w:val="000000" w:themeColor="text1"/>
          <w:shd w:val="clear" w:color="auto" w:fill="FFFFFF"/>
        </w:rPr>
        <w:t>aunque algún autor</w:t>
      </w:r>
      <w:r w:rsidR="000F639F" w:rsidRPr="00EE25D1">
        <w:rPr>
          <w:rFonts w:ascii="Calibri" w:hAnsi="Calibri"/>
          <w:color w:val="000000" w:themeColor="text1"/>
          <w:shd w:val="clear" w:color="auto" w:fill="FFFFFF"/>
        </w:rPr>
        <w:t xml:space="preserve"> </w:t>
      </w:r>
      <w:r w:rsidR="00995818" w:rsidRPr="00EE25D1">
        <w:rPr>
          <w:rFonts w:ascii="Calibri" w:hAnsi="Calibri"/>
          <w:color w:val="000000" w:themeColor="text1"/>
          <w:shd w:val="clear" w:color="auto" w:fill="FFFFFF"/>
        </w:rPr>
        <w:t>haya defendido esta vía</w:t>
      </w:r>
      <w:r w:rsidR="00995818" w:rsidRPr="00EE25D1">
        <w:rPr>
          <w:rStyle w:val="Refdenotaalpie"/>
          <w:rFonts w:ascii="Calibri" w:hAnsi="Calibri"/>
          <w:color w:val="000000" w:themeColor="text1"/>
          <w:shd w:val="clear" w:color="auto" w:fill="FFFFFF"/>
        </w:rPr>
        <w:footnoteReference w:id="61"/>
      </w:r>
      <w:r w:rsidR="00995818" w:rsidRPr="00EE25D1">
        <w:rPr>
          <w:rFonts w:ascii="Calibri" w:hAnsi="Calibri"/>
          <w:color w:val="000000" w:themeColor="text1"/>
          <w:shd w:val="clear" w:color="auto" w:fill="FFFFFF"/>
        </w:rPr>
        <w:t xml:space="preserve">, </w:t>
      </w:r>
      <w:r w:rsidR="00F748FE" w:rsidRPr="00EE25D1">
        <w:rPr>
          <w:rFonts w:ascii="Calibri" w:hAnsi="Calibri"/>
          <w:color w:val="000000" w:themeColor="text1"/>
          <w:shd w:val="clear" w:color="auto" w:fill="FFFFFF"/>
        </w:rPr>
        <w:t xml:space="preserve">pues iría en contra </w:t>
      </w:r>
      <w:r w:rsidR="00713133" w:rsidRPr="00EE25D1">
        <w:rPr>
          <w:rFonts w:ascii="Calibri" w:hAnsi="Calibri"/>
          <w:color w:val="000000" w:themeColor="text1"/>
          <w:shd w:val="clear" w:color="auto" w:fill="FFFFFF"/>
        </w:rPr>
        <w:t>de</w:t>
      </w:r>
      <w:r w:rsidR="00F748FE" w:rsidRPr="00EE25D1">
        <w:rPr>
          <w:rFonts w:ascii="Calibri" w:hAnsi="Calibri"/>
          <w:color w:val="000000" w:themeColor="text1"/>
          <w:shd w:val="clear" w:color="auto" w:fill="FFFFFF"/>
        </w:rPr>
        <w:t xml:space="preserve"> los designios sobre los cuales pivota la guarda de hecho</w:t>
      </w:r>
      <w:r w:rsidR="0025484C" w:rsidRPr="00EE25D1">
        <w:rPr>
          <w:rStyle w:val="Refdenotaalpie"/>
          <w:rFonts w:ascii="Calibri" w:hAnsi="Calibri"/>
          <w:color w:val="000000" w:themeColor="text1"/>
          <w:shd w:val="clear" w:color="auto" w:fill="FFFFFF"/>
        </w:rPr>
        <w:footnoteReference w:id="62"/>
      </w:r>
      <w:r w:rsidR="004A326A" w:rsidRPr="00EE25D1">
        <w:rPr>
          <w:rFonts w:ascii="Calibri" w:hAnsi="Calibri"/>
          <w:color w:val="000000" w:themeColor="text1"/>
          <w:shd w:val="clear" w:color="auto" w:fill="FFFFFF"/>
        </w:rPr>
        <w:t xml:space="preserve"> </w:t>
      </w:r>
      <w:r w:rsidR="00F748FE" w:rsidRPr="00EE25D1">
        <w:rPr>
          <w:rFonts w:ascii="Calibri" w:hAnsi="Calibri"/>
          <w:color w:val="000000" w:themeColor="text1"/>
          <w:shd w:val="clear" w:color="auto" w:fill="FFFFFF"/>
        </w:rPr>
        <w:t>y, sobre todo, porque no se puede pretender una judicialización de la desjudicialización de la guarda de hecho</w:t>
      </w:r>
      <w:r w:rsidR="0025484C" w:rsidRPr="00EE25D1">
        <w:rPr>
          <w:rStyle w:val="Refdenotaalpie"/>
          <w:rFonts w:ascii="Calibri" w:hAnsi="Calibri"/>
          <w:color w:val="000000" w:themeColor="text1"/>
          <w:shd w:val="clear" w:color="auto" w:fill="FFFFFF"/>
        </w:rPr>
        <w:footnoteReference w:id="63"/>
      </w:r>
      <w:r w:rsidR="00F748FE"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La</w:t>
      </w:r>
      <w:r w:rsidR="00F6621E" w:rsidRPr="00EE25D1">
        <w:rPr>
          <w:rFonts w:ascii="Calibri" w:hAnsi="Calibri"/>
          <w:color w:val="000000" w:themeColor="text1"/>
          <w:shd w:val="clear" w:color="auto" w:fill="FFFFFF"/>
        </w:rPr>
        <w:t xml:space="preserve"> segunda solución gravitaría en torno a la constitución de una </w:t>
      </w:r>
      <w:r w:rsidRPr="00EE25D1">
        <w:rPr>
          <w:rFonts w:ascii="Calibri" w:hAnsi="Calibri"/>
          <w:color w:val="000000" w:themeColor="text1"/>
          <w:shd w:val="clear" w:color="auto" w:fill="FFFFFF"/>
        </w:rPr>
        <w:t>curatela</w:t>
      </w:r>
      <w:r w:rsidR="00713133" w:rsidRPr="00EE25D1">
        <w:rPr>
          <w:rFonts w:ascii="Calibri" w:hAnsi="Calibri"/>
          <w:color w:val="000000" w:themeColor="text1"/>
          <w:shd w:val="clear" w:color="auto" w:fill="FFFFFF"/>
        </w:rPr>
        <w:t>, posibilidad que quizás no pueda</w:t>
      </w:r>
      <w:r w:rsidR="00F6621E" w:rsidRPr="00EE25D1">
        <w:rPr>
          <w:rFonts w:ascii="Calibri" w:hAnsi="Calibri"/>
          <w:color w:val="000000" w:themeColor="text1"/>
          <w:shd w:val="clear" w:color="auto" w:fill="FFFFFF"/>
        </w:rPr>
        <w:t xml:space="preserve"> </w:t>
      </w:r>
      <w:r w:rsidR="00713133" w:rsidRPr="00EE25D1">
        <w:rPr>
          <w:rFonts w:ascii="Calibri" w:hAnsi="Calibri"/>
          <w:color w:val="000000" w:themeColor="text1"/>
          <w:shd w:val="clear" w:color="auto" w:fill="FFFFFF"/>
        </w:rPr>
        <w:t xml:space="preserve">ser </w:t>
      </w:r>
      <w:r w:rsidR="00F6621E" w:rsidRPr="00EE25D1">
        <w:rPr>
          <w:rFonts w:ascii="Calibri" w:hAnsi="Calibri"/>
          <w:color w:val="000000" w:themeColor="text1"/>
          <w:shd w:val="clear" w:color="auto" w:fill="FFFFFF"/>
        </w:rPr>
        <w:t>viable, ni directa ni indirectamente. La petición de que se constituya una curatela cuando la guarda de hecho está funcionando correctamente estaría proscrita por el artículo 269</w:t>
      </w:r>
      <w:r w:rsidR="009F68E3" w:rsidRPr="00EE25D1">
        <w:rPr>
          <w:rStyle w:val="Refdenotaalpie"/>
          <w:rFonts w:ascii="Calibri" w:hAnsi="Calibri"/>
          <w:color w:val="000000" w:themeColor="text1"/>
          <w:shd w:val="clear" w:color="auto" w:fill="FFFFFF"/>
        </w:rPr>
        <w:footnoteReference w:id="64"/>
      </w:r>
      <w:r w:rsidR="00F6621E" w:rsidRPr="00EE25D1">
        <w:rPr>
          <w:rFonts w:ascii="Calibri" w:hAnsi="Calibri"/>
          <w:color w:val="000000" w:themeColor="text1"/>
          <w:shd w:val="clear" w:color="auto" w:fill="FFFFFF"/>
        </w:rPr>
        <w:t xml:space="preserve">. </w:t>
      </w:r>
      <w:r w:rsidR="00F6621E" w:rsidRPr="00EE25D1">
        <w:rPr>
          <w:rFonts w:ascii="Calibri" w:hAnsi="Calibri"/>
          <w:i/>
          <w:color w:val="000000" w:themeColor="text1"/>
          <w:shd w:val="clear" w:color="auto" w:fill="FFFFFF"/>
        </w:rPr>
        <w:t>Ad abundantiam</w:t>
      </w:r>
      <w:r w:rsidR="00F6621E" w:rsidRPr="00EE25D1">
        <w:rPr>
          <w:rFonts w:ascii="Calibri" w:hAnsi="Calibri"/>
          <w:color w:val="000000" w:themeColor="text1"/>
          <w:shd w:val="clear" w:color="auto" w:fill="FFFFFF"/>
        </w:rPr>
        <w:t xml:space="preserve">, tampoco sería factible la vía de la extinción de la guarda de hecho para, a posteriori, alegar que procedería la curatela por la inexistencia de medidas de apoyo y que el otrora cónyuge guardador sea nombrado curador, a fin </w:t>
      </w:r>
      <w:r w:rsidR="00213EBB" w:rsidRPr="00EE25D1">
        <w:rPr>
          <w:rFonts w:ascii="Calibri" w:hAnsi="Calibri"/>
          <w:color w:val="000000" w:themeColor="text1"/>
          <w:shd w:val="clear" w:color="auto" w:fill="FFFFFF"/>
        </w:rPr>
        <w:t>permitir el encaje en el s</w:t>
      </w:r>
      <w:r w:rsidR="005051BC" w:rsidRPr="00EE25D1">
        <w:rPr>
          <w:rFonts w:ascii="Calibri" w:hAnsi="Calibri"/>
          <w:color w:val="000000" w:themeColor="text1"/>
          <w:shd w:val="clear" w:color="auto" w:fill="FFFFFF"/>
        </w:rPr>
        <w:t>upuesto de hecho de los artículos</w:t>
      </w:r>
      <w:r w:rsidR="00F6621E" w:rsidRPr="00EE25D1">
        <w:rPr>
          <w:rFonts w:ascii="Calibri" w:hAnsi="Calibri"/>
          <w:color w:val="000000" w:themeColor="text1"/>
          <w:shd w:val="clear" w:color="auto" w:fill="FFFFFF"/>
        </w:rPr>
        <w:t xml:space="preserve"> 138</w:t>
      </w:r>
      <w:r w:rsidR="00C71F23" w:rsidRPr="00EE25D1">
        <w:rPr>
          <w:rFonts w:ascii="Calibri" w:hAnsi="Calibri"/>
          <w:color w:val="000000" w:themeColor="text1"/>
          <w:shd w:val="clear" w:color="auto" w:fill="FFFFFF"/>
        </w:rPr>
        <w:t>7 y 1393.1º</w:t>
      </w:r>
      <w:r w:rsidR="00713133" w:rsidRPr="00EE25D1">
        <w:rPr>
          <w:rFonts w:ascii="Calibri" w:hAnsi="Calibri"/>
          <w:color w:val="000000" w:themeColor="text1"/>
          <w:shd w:val="clear" w:color="auto" w:fill="FFFFFF"/>
        </w:rPr>
        <w:t>, toda vez que, en la</w:t>
      </w:r>
      <w:r w:rsidR="00F6621E" w:rsidRPr="00EE25D1">
        <w:rPr>
          <w:rFonts w:ascii="Calibri" w:hAnsi="Calibri"/>
          <w:color w:val="000000" w:themeColor="text1"/>
          <w:shd w:val="clear" w:color="auto" w:fill="FFFFFF"/>
        </w:rPr>
        <w:t xml:space="preserve"> situación planteada como hipótesis, difícilmente podría extinguirse la guarda de</w:t>
      </w:r>
      <w:r w:rsidR="00C71F23" w:rsidRPr="00EE25D1">
        <w:rPr>
          <w:rFonts w:ascii="Calibri" w:hAnsi="Calibri"/>
          <w:color w:val="000000" w:themeColor="text1"/>
          <w:shd w:val="clear" w:color="auto" w:fill="FFFFFF"/>
        </w:rPr>
        <w:t xml:space="preserve"> hecho en virtud del </w:t>
      </w:r>
      <w:r w:rsidR="000C0416" w:rsidRPr="00EE25D1">
        <w:rPr>
          <w:rFonts w:ascii="Calibri" w:hAnsi="Calibri"/>
        </w:rPr>
        <w:t>artículo</w:t>
      </w:r>
      <w:r w:rsidR="000C0416" w:rsidRPr="00EE25D1">
        <w:rPr>
          <w:rFonts w:ascii="Calibri" w:hAnsi="Calibri"/>
          <w:color w:val="000000" w:themeColor="text1"/>
          <w:shd w:val="clear" w:color="auto" w:fill="FFFFFF"/>
        </w:rPr>
        <w:t xml:space="preserve"> </w:t>
      </w:r>
      <w:r w:rsidR="00C71F23" w:rsidRPr="00EE25D1">
        <w:rPr>
          <w:rFonts w:ascii="Calibri" w:hAnsi="Calibri"/>
          <w:color w:val="000000" w:themeColor="text1"/>
          <w:shd w:val="clear" w:color="auto" w:fill="FFFFFF"/>
        </w:rPr>
        <w:t>267</w:t>
      </w:r>
      <w:r w:rsidR="00F6621E" w:rsidRPr="00EE25D1">
        <w:rPr>
          <w:rFonts w:ascii="Calibri" w:hAnsi="Calibri"/>
          <w:color w:val="000000" w:themeColor="text1"/>
          <w:shd w:val="clear" w:color="auto" w:fill="FFFFFF"/>
        </w:rPr>
        <w:t xml:space="preserve">. </w:t>
      </w:r>
    </w:p>
    <w:p w:rsidR="00F6621E" w:rsidRPr="00EE25D1" w:rsidRDefault="00F6621E"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Así, y sumergiénd</w:t>
      </w:r>
      <w:r w:rsidR="000C0416" w:rsidRPr="00EE25D1">
        <w:rPr>
          <w:rFonts w:ascii="Calibri" w:hAnsi="Calibri"/>
          <w:color w:val="000000" w:themeColor="text1"/>
          <w:shd w:val="clear" w:color="auto" w:fill="FFFFFF"/>
        </w:rPr>
        <w:t xml:space="preserve">onos en la dicción legal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267 </w:t>
      </w:r>
      <w:r w:rsidR="00C71F23" w:rsidRPr="00EE25D1">
        <w:rPr>
          <w:rFonts w:ascii="Calibri" w:hAnsi="Calibri"/>
        </w:rPr>
        <w:t>del Código Civil</w:t>
      </w:r>
      <w:r w:rsidRPr="00EE25D1">
        <w:rPr>
          <w:rFonts w:ascii="Calibri" w:hAnsi="Calibri"/>
          <w:color w:val="000000" w:themeColor="text1"/>
          <w:shd w:val="clear" w:color="auto" w:fill="FFFFFF"/>
        </w:rPr>
        <w:t>,</w:t>
      </w:r>
      <w:r w:rsidR="00713133" w:rsidRPr="00EE25D1">
        <w:rPr>
          <w:rFonts w:ascii="Calibri" w:hAnsi="Calibri"/>
          <w:color w:val="000000" w:themeColor="text1"/>
          <w:shd w:val="clear" w:color="auto" w:fill="FFFFFF"/>
        </w:rPr>
        <w:t xml:space="preserve"> que a la sazón prevé las causa</w:t>
      </w:r>
      <w:r w:rsidR="000F639F" w:rsidRPr="00EE25D1">
        <w:rPr>
          <w:rFonts w:ascii="Calibri" w:hAnsi="Calibri"/>
          <w:color w:val="000000" w:themeColor="text1"/>
          <w:shd w:val="clear" w:color="auto" w:fill="FFFFFF"/>
        </w:rPr>
        <w:t>s</w:t>
      </w:r>
      <w:r w:rsidR="00713133" w:rsidRPr="00EE25D1">
        <w:rPr>
          <w:rFonts w:ascii="Calibri" w:hAnsi="Calibri"/>
          <w:color w:val="000000" w:themeColor="text1"/>
          <w:shd w:val="clear" w:color="auto" w:fill="FFFFFF"/>
        </w:rPr>
        <w:t xml:space="preserve"> de extinción de la guarda de hecho</w:t>
      </w:r>
      <w:r w:rsidR="000F639F"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podría argüirse que el propio cónyuge bajo guarda de hecho pida la extinción </w:t>
      </w:r>
      <w:r w:rsidR="000F639F" w:rsidRPr="00EE25D1">
        <w:rPr>
          <w:rFonts w:ascii="Calibri" w:hAnsi="Calibri"/>
          <w:color w:val="000000" w:themeColor="text1"/>
          <w:shd w:val="clear" w:color="auto" w:fill="FFFFFF"/>
        </w:rPr>
        <w:t xml:space="preserve">de </w:t>
      </w:r>
      <w:r w:rsidR="00EC3078" w:rsidRPr="00EE25D1">
        <w:rPr>
          <w:rFonts w:ascii="Calibri" w:hAnsi="Calibri"/>
          <w:color w:val="000000" w:themeColor="text1"/>
          <w:shd w:val="clear" w:color="auto" w:fill="FFFFFF"/>
        </w:rPr>
        <w:t>esta</w:t>
      </w:r>
      <w:r w:rsidRPr="00EE25D1">
        <w:rPr>
          <w:rFonts w:ascii="Calibri" w:hAnsi="Calibri"/>
          <w:color w:val="000000" w:themeColor="text1"/>
          <w:shd w:val="clear" w:color="auto" w:fill="FFFFFF"/>
        </w:rPr>
        <w:t xml:space="preserve"> para que </w:t>
      </w:r>
      <w:r w:rsidR="00EB4D56" w:rsidRPr="00EE25D1">
        <w:rPr>
          <w:rFonts w:ascii="Calibri" w:hAnsi="Calibri"/>
          <w:color w:val="000000" w:themeColor="text1"/>
          <w:shd w:val="clear" w:color="auto" w:fill="FFFFFF"/>
        </w:rPr>
        <w:t>el apoyo se organice</w:t>
      </w:r>
      <w:r w:rsidRPr="00EE25D1">
        <w:rPr>
          <w:rFonts w:ascii="Calibri" w:hAnsi="Calibri"/>
          <w:color w:val="000000" w:themeColor="text1"/>
          <w:shd w:val="clear" w:color="auto" w:fill="FFFFFF"/>
        </w:rPr>
        <w:t xml:space="preserve"> de otro modo (</w:t>
      </w:r>
      <w:r w:rsidR="00545FB7" w:rsidRPr="00EE25D1">
        <w:rPr>
          <w:rFonts w:ascii="Calibri" w:hAnsi="Calibri"/>
        </w:rPr>
        <w:t>art.</w:t>
      </w:r>
      <w:r w:rsidR="000C0416"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267.1º CC) y así lograr la constitución de una curatela como puente que acti</w:t>
      </w:r>
      <w:r w:rsidR="00C71F23" w:rsidRPr="00EE25D1">
        <w:rPr>
          <w:rFonts w:ascii="Calibri" w:hAnsi="Calibri"/>
          <w:color w:val="000000" w:themeColor="text1"/>
          <w:shd w:val="clear" w:color="auto" w:fill="FFFFFF"/>
        </w:rPr>
        <w:t xml:space="preserve">ve los </w:t>
      </w:r>
      <w:r w:rsidR="000C0416" w:rsidRPr="00EE25D1">
        <w:rPr>
          <w:rFonts w:ascii="Calibri" w:hAnsi="Calibri"/>
        </w:rPr>
        <w:t>artículo</w:t>
      </w:r>
      <w:r w:rsidR="000C0416" w:rsidRPr="00EE25D1">
        <w:rPr>
          <w:rFonts w:ascii="Calibri" w:hAnsi="Calibri"/>
          <w:color w:val="000000" w:themeColor="text1"/>
          <w:shd w:val="clear" w:color="auto" w:fill="FFFFFF"/>
        </w:rPr>
        <w:t xml:space="preserve">s </w:t>
      </w:r>
      <w:r w:rsidR="00C71F23" w:rsidRPr="00EE25D1">
        <w:rPr>
          <w:rFonts w:ascii="Calibri" w:hAnsi="Calibri"/>
          <w:color w:val="000000" w:themeColor="text1"/>
          <w:shd w:val="clear" w:color="auto" w:fill="FFFFFF"/>
        </w:rPr>
        <w:t>1387 y 1393.1º</w:t>
      </w:r>
      <w:r w:rsidR="000F639F" w:rsidRPr="00EE25D1">
        <w:rPr>
          <w:rFonts w:ascii="Calibri" w:hAnsi="Calibri"/>
          <w:color w:val="000000" w:themeColor="text1"/>
          <w:shd w:val="clear" w:color="auto" w:fill="FFFFFF"/>
        </w:rPr>
        <w:t>. Se</w:t>
      </w:r>
      <w:r w:rsidR="00EC3078" w:rsidRPr="00EE25D1">
        <w:rPr>
          <w:rFonts w:ascii="Calibri" w:hAnsi="Calibri"/>
          <w:color w:val="000000" w:themeColor="text1"/>
          <w:shd w:val="clear" w:color="auto" w:fill="FFFFFF"/>
        </w:rPr>
        <w:t xml:space="preserve"> trata de una posibilidad que pudiera darse tanto antes de la guarda de hecho, tan pronto como el cónyuge necesite </w:t>
      </w:r>
      <w:r w:rsidR="000F639F" w:rsidRPr="00EE25D1">
        <w:rPr>
          <w:rFonts w:ascii="Calibri" w:hAnsi="Calibri"/>
          <w:color w:val="000000" w:themeColor="text1"/>
          <w:shd w:val="clear" w:color="auto" w:fill="FFFFFF"/>
        </w:rPr>
        <w:t>el apoyo</w:t>
      </w:r>
      <w:r w:rsidR="00EC3078" w:rsidRPr="00EE25D1">
        <w:rPr>
          <w:rFonts w:ascii="Calibri" w:hAnsi="Calibri"/>
          <w:color w:val="000000" w:themeColor="text1"/>
          <w:shd w:val="clear" w:color="auto" w:fill="FFFFFF"/>
        </w:rPr>
        <w:t>, como una vez que la medida informal ha comenzado su vigencia. Debe tenerse en cuenta que, según los principios de la CDPD, la propia persona con discapacidad puede diseñar y organizar la arquitectura de las medidas de apoyo que precise; en este contexto, sería posible que esta solicitara la constitución de una curatela interesando el nombramiento del cónyuge como curador para los asuntos patrimoniales, y para el resto de ámbito</w:t>
      </w:r>
      <w:r w:rsidR="00EB4D56" w:rsidRPr="00EE25D1">
        <w:rPr>
          <w:rFonts w:ascii="Calibri" w:hAnsi="Calibri"/>
          <w:color w:val="000000" w:themeColor="text1"/>
          <w:shd w:val="clear" w:color="auto" w:fill="FFFFFF"/>
        </w:rPr>
        <w:t>s</w:t>
      </w:r>
      <w:r w:rsidR="00EC3078" w:rsidRPr="00EE25D1">
        <w:rPr>
          <w:rFonts w:ascii="Calibri" w:hAnsi="Calibri"/>
          <w:color w:val="000000" w:themeColor="text1"/>
          <w:shd w:val="clear" w:color="auto" w:fill="FFFFFF"/>
        </w:rPr>
        <w:t xml:space="preserve"> funcionar o seguir funcionado con la guarda de hecho</w:t>
      </w:r>
      <w:r w:rsidR="00EB4D56" w:rsidRPr="00EE25D1">
        <w:rPr>
          <w:rStyle w:val="Refdenotaalpie"/>
          <w:rFonts w:ascii="Calibri" w:hAnsi="Calibri"/>
          <w:color w:val="000000" w:themeColor="text1"/>
          <w:shd w:val="clear" w:color="auto" w:fill="FFFFFF"/>
        </w:rPr>
        <w:footnoteReference w:id="65"/>
      </w:r>
      <w:r w:rsidR="00EC3078" w:rsidRPr="00EE25D1">
        <w:rPr>
          <w:rFonts w:ascii="Calibri" w:hAnsi="Calibri"/>
          <w:color w:val="000000" w:themeColor="text1"/>
          <w:shd w:val="clear" w:color="auto" w:fill="FFFFFF"/>
        </w:rPr>
        <w:t xml:space="preserve">. El </w:t>
      </w:r>
      <w:r w:rsidR="0061580C" w:rsidRPr="00EE25D1">
        <w:rPr>
          <w:rFonts w:ascii="Calibri" w:hAnsi="Calibri"/>
          <w:color w:val="000000" w:themeColor="text1"/>
          <w:shd w:val="clear" w:color="auto" w:fill="FFFFFF"/>
        </w:rPr>
        <w:t>óbice</w:t>
      </w:r>
      <w:r w:rsidR="00EC3078" w:rsidRPr="00EE25D1">
        <w:rPr>
          <w:rFonts w:ascii="Calibri" w:hAnsi="Calibri"/>
          <w:color w:val="000000" w:themeColor="text1"/>
          <w:shd w:val="clear" w:color="auto" w:fill="FFFFFF"/>
        </w:rPr>
        <w:t xml:space="preserve"> que plantea esta tesis </w:t>
      </w:r>
      <w:r w:rsidRPr="00EE25D1">
        <w:rPr>
          <w:rFonts w:ascii="Calibri" w:hAnsi="Calibri"/>
          <w:color w:val="000000" w:themeColor="text1"/>
          <w:shd w:val="clear" w:color="auto" w:fill="FFFFFF"/>
        </w:rPr>
        <w:t>es que puede ser que el cónyuge necesitado de apoyo carezca, absolutamente, de las facultades cognitivas, intelectivas y volitivas suficiente</w:t>
      </w:r>
      <w:r w:rsidR="009911CE" w:rsidRPr="00EE25D1">
        <w:rPr>
          <w:rFonts w:ascii="Calibri" w:hAnsi="Calibri"/>
          <w:color w:val="000000" w:themeColor="text1"/>
          <w:shd w:val="clear" w:color="auto" w:fill="FFFFFF"/>
        </w:rPr>
        <w:t>s para formular dicha petición -ej. alzhéimer severo-</w:t>
      </w:r>
      <w:r w:rsidRPr="00EE25D1">
        <w:rPr>
          <w:rFonts w:ascii="Calibri" w:hAnsi="Calibri"/>
          <w:color w:val="000000" w:themeColor="text1"/>
          <w:shd w:val="clear" w:color="auto" w:fill="FFFFFF"/>
        </w:rPr>
        <w:t>, amén de que, aun en el supuesto de que posea suficiente discernimiento, el cónyuge guardador, extinta la guarda y removido de su cargo a instancia del consorte</w:t>
      </w:r>
      <w:r w:rsidR="00EC3078" w:rsidRPr="00EE25D1">
        <w:rPr>
          <w:rFonts w:ascii="Calibri" w:hAnsi="Calibri"/>
          <w:color w:val="000000" w:themeColor="text1"/>
          <w:shd w:val="clear" w:color="auto" w:fill="FFFFFF"/>
        </w:rPr>
        <w:t>, podría</w:t>
      </w:r>
      <w:r w:rsidR="000F639F" w:rsidRPr="00EE25D1">
        <w:rPr>
          <w:rFonts w:ascii="Calibri" w:hAnsi="Calibri"/>
          <w:color w:val="000000" w:themeColor="text1"/>
          <w:shd w:val="clear" w:color="auto" w:fill="FFFFFF"/>
        </w:rPr>
        <w:t xml:space="preserve"> ser</w:t>
      </w:r>
      <w:r w:rsidRPr="00EE25D1">
        <w:rPr>
          <w:rFonts w:ascii="Calibri" w:hAnsi="Calibri"/>
          <w:color w:val="000000" w:themeColor="text1"/>
          <w:shd w:val="clear" w:color="auto" w:fill="FFFFFF"/>
        </w:rPr>
        <w:t xml:space="preserve"> excluido imperativamente d</w:t>
      </w:r>
      <w:r w:rsidR="000C0416" w:rsidRPr="00EE25D1">
        <w:rPr>
          <w:rFonts w:ascii="Calibri" w:hAnsi="Calibri"/>
          <w:color w:val="000000" w:themeColor="text1"/>
          <w:shd w:val="clear" w:color="auto" w:fill="FFFFFF"/>
        </w:rPr>
        <w:t xml:space="preserve">e la curatela en virtud del </w:t>
      </w:r>
      <w:r w:rsidR="000C0416" w:rsidRPr="00EE25D1">
        <w:rPr>
          <w:rFonts w:ascii="Calibri" w:hAnsi="Calibri"/>
        </w:rPr>
        <w:t>artículo</w:t>
      </w:r>
      <w:r w:rsidRPr="00EE25D1">
        <w:rPr>
          <w:rFonts w:ascii="Calibri" w:hAnsi="Calibri"/>
          <w:color w:val="000000" w:themeColor="text1"/>
          <w:shd w:val="clear" w:color="auto" w:fill="FFFFFF"/>
        </w:rPr>
        <w:t xml:space="preserve"> 275.2.3º</w:t>
      </w:r>
      <w:r w:rsidRPr="00EE25D1">
        <w:rPr>
          <w:rStyle w:val="Refdenotaalpie"/>
          <w:rFonts w:ascii="Calibri" w:hAnsi="Calibri"/>
          <w:color w:val="000000" w:themeColor="text1"/>
          <w:shd w:val="clear" w:color="auto" w:fill="FFFFFF"/>
        </w:rPr>
        <w:footnoteReference w:id="66"/>
      </w:r>
      <w:r w:rsidRPr="00EE25D1">
        <w:rPr>
          <w:rFonts w:ascii="Calibri" w:hAnsi="Calibri"/>
          <w:color w:val="000000" w:themeColor="text1"/>
          <w:shd w:val="clear" w:color="auto" w:fill="FFFFFF"/>
        </w:rPr>
        <w:t xml:space="preserve"> y, por ende, s</w:t>
      </w:r>
      <w:r w:rsidR="000C0416" w:rsidRPr="00EE25D1">
        <w:rPr>
          <w:rFonts w:ascii="Calibri" w:hAnsi="Calibri"/>
          <w:color w:val="000000" w:themeColor="text1"/>
          <w:shd w:val="clear" w:color="auto" w:fill="FFFFFF"/>
        </w:rPr>
        <w:t xml:space="preserve">ería inaplicable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1387</w:t>
      </w:r>
      <w:r w:rsidRPr="00EE25D1">
        <w:rPr>
          <w:rFonts w:ascii="Calibri" w:hAnsi="Calibri"/>
          <w:color w:val="000000" w:themeColor="text1"/>
          <w:shd w:val="clear" w:color="auto" w:fill="FFFFFF"/>
        </w:rPr>
        <w:t>. La posibilidad de extinguir la guarda por desistimiento del guardador a fin de que se constituya una curatela donde el otrora guardador que des</w:t>
      </w:r>
      <w:r w:rsidR="000C0416" w:rsidRPr="00EE25D1">
        <w:rPr>
          <w:rFonts w:ascii="Calibri" w:hAnsi="Calibri"/>
          <w:color w:val="000000" w:themeColor="text1"/>
          <w:shd w:val="clear" w:color="auto" w:fill="FFFFFF"/>
        </w:rPr>
        <w:t>istió sea nombrado curador (</w:t>
      </w:r>
      <w:r w:rsidR="00545FB7" w:rsidRPr="00EE25D1">
        <w:rPr>
          <w:rFonts w:ascii="Calibri" w:hAnsi="Calibri"/>
        </w:rPr>
        <w:t>art.</w:t>
      </w:r>
      <w:r w:rsidRPr="00EE25D1">
        <w:rPr>
          <w:rFonts w:ascii="Calibri" w:hAnsi="Calibri"/>
          <w:color w:val="000000" w:themeColor="text1"/>
          <w:shd w:val="clear" w:color="auto" w:fill="FFFFFF"/>
        </w:rPr>
        <w:t xml:space="preserve"> 267.3º CC) la contemplamos como una pirueta jurídica que prostituye la pertinencia y utilidad de las medidas judiciales de apoyo, pues, si la guarda de hecho estaba funcionando correctamente, sería una perversión de la LAPCD</w:t>
      </w:r>
      <w:r w:rsidR="000F639F" w:rsidRPr="00EE25D1">
        <w:rPr>
          <w:rFonts w:ascii="Calibri" w:hAnsi="Calibri"/>
          <w:color w:val="000000" w:themeColor="text1"/>
          <w:shd w:val="clear" w:color="auto" w:fill="FFFFFF"/>
        </w:rPr>
        <w:t xml:space="preserve"> forzar la extinción de la medida</w:t>
      </w:r>
      <w:r w:rsidRPr="00EE25D1">
        <w:rPr>
          <w:rFonts w:ascii="Calibri" w:hAnsi="Calibri"/>
          <w:color w:val="000000" w:themeColor="text1"/>
          <w:shd w:val="clear" w:color="auto" w:fill="FFFFFF"/>
        </w:rPr>
        <w:t xml:space="preserve"> informal de apoyo </w:t>
      </w:r>
      <w:r w:rsidR="00FB323A" w:rsidRPr="00EE25D1">
        <w:rPr>
          <w:rFonts w:ascii="Calibri" w:hAnsi="Calibri"/>
          <w:color w:val="000000" w:themeColor="text1"/>
          <w:shd w:val="clear" w:color="auto" w:fill="FFFFFF"/>
        </w:rPr>
        <w:t xml:space="preserve">para la constitución de una medida judicial. </w:t>
      </w:r>
      <w:r w:rsidRPr="00EE25D1">
        <w:rPr>
          <w:rFonts w:ascii="Calibri" w:hAnsi="Calibri"/>
          <w:color w:val="000000" w:themeColor="text1"/>
          <w:shd w:val="clear" w:color="auto" w:fill="FFFFFF"/>
        </w:rPr>
        <w:t xml:space="preserve">Por último, </w:t>
      </w:r>
      <w:r w:rsidR="00FB323A" w:rsidRPr="00EE25D1">
        <w:rPr>
          <w:rFonts w:ascii="Calibri" w:hAnsi="Calibri"/>
          <w:color w:val="000000" w:themeColor="text1"/>
          <w:shd w:val="clear" w:color="auto" w:fill="FFFFFF"/>
        </w:rPr>
        <w:t xml:space="preserve">tampoco </w:t>
      </w:r>
      <w:r w:rsidRPr="00EE25D1">
        <w:rPr>
          <w:rFonts w:ascii="Calibri" w:hAnsi="Calibri"/>
          <w:color w:val="000000" w:themeColor="text1"/>
          <w:shd w:val="clear" w:color="auto" w:fill="FFFFFF"/>
        </w:rPr>
        <w:t>vemos loable la extinción de la guar</w:t>
      </w:r>
      <w:r w:rsidR="000C0416" w:rsidRPr="00EE25D1">
        <w:rPr>
          <w:rFonts w:ascii="Calibri" w:hAnsi="Calibri"/>
          <w:color w:val="000000" w:themeColor="text1"/>
          <w:shd w:val="clear" w:color="auto" w:fill="FFFFFF"/>
        </w:rPr>
        <w:t xml:space="preserve">da por la vía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267.4º</w:t>
      </w:r>
      <w:r w:rsidRPr="00EE25D1">
        <w:rPr>
          <w:rFonts w:ascii="Calibri" w:hAnsi="Calibri"/>
          <w:color w:val="000000" w:themeColor="text1"/>
          <w:shd w:val="clear" w:color="auto" w:fill="FFFFFF"/>
        </w:rPr>
        <w:t xml:space="preserve">, porque la legitimación se la confiere el inciso al Ministerio Fiscal o a quien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se interese por ejercer el apoyo de la persona bajo guarda</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pudiendo acordar la autoridad judicial la extinción si lo considera conveniente. El cónyuge guardador no podría formular la solicitud, dada cuenta que ya está ejerciendo el apoyo</w:t>
      </w:r>
      <w:r w:rsidRPr="00EE25D1">
        <w:rPr>
          <w:rStyle w:val="Refdenotaalpie"/>
          <w:rFonts w:ascii="Calibri" w:hAnsi="Calibri"/>
          <w:color w:val="000000" w:themeColor="text1"/>
          <w:shd w:val="clear" w:color="auto" w:fill="FFFFFF"/>
        </w:rPr>
        <w:footnoteReference w:id="67"/>
      </w:r>
      <w:r w:rsidRPr="00EE25D1">
        <w:rPr>
          <w:rFonts w:ascii="Calibri" w:hAnsi="Calibri"/>
          <w:color w:val="000000" w:themeColor="text1"/>
          <w:shd w:val="clear" w:color="auto" w:fill="FFFFFF"/>
        </w:rPr>
        <w:t xml:space="preserve"> y sería un absurdo que este evacuara una petición para ser removido del cargo de guardador para, posteriormente, p</w:t>
      </w:r>
      <w:r w:rsidR="00433F29" w:rsidRPr="00EE25D1">
        <w:rPr>
          <w:rFonts w:ascii="Calibri" w:hAnsi="Calibri"/>
          <w:color w:val="000000" w:themeColor="text1"/>
          <w:shd w:val="clear" w:color="auto" w:fill="FFFFFF"/>
        </w:rPr>
        <w:t>retender asumir el de curador. A</w:t>
      </w:r>
      <w:r w:rsidRPr="00EE25D1">
        <w:rPr>
          <w:rFonts w:ascii="Calibri" w:hAnsi="Calibri"/>
          <w:color w:val="000000" w:themeColor="text1"/>
          <w:shd w:val="clear" w:color="auto" w:fill="FFFFFF"/>
        </w:rPr>
        <w:t>l margen de la legitimación, y por si llegara a plantearla el Ministerio Fiscal, tampoco vemos loable que, en la tesitura planteada, el Juez acuerde la extinción, porque, con independencia de la amplia discre</w:t>
      </w:r>
      <w:r w:rsidR="009911CE" w:rsidRPr="00EE25D1">
        <w:rPr>
          <w:rFonts w:ascii="Calibri" w:hAnsi="Calibri"/>
          <w:color w:val="000000" w:themeColor="text1"/>
          <w:shd w:val="clear" w:color="auto" w:fill="FFFFFF"/>
        </w:rPr>
        <w:t xml:space="preserve">cionalidad que parece albergar </w:t>
      </w:r>
      <w:r w:rsidR="00433F29" w:rsidRPr="00EE25D1">
        <w:rPr>
          <w:rFonts w:ascii="Calibri" w:hAnsi="Calibri"/>
          <w:color w:val="000000" w:themeColor="text1"/>
          <w:shd w:val="clear" w:color="auto" w:fill="FFFFFF"/>
        </w:rPr>
        <w:t>-</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lo considere conveniente</w:t>
      </w:r>
      <w:r w:rsidR="00713CC7" w:rsidRPr="00EE25D1">
        <w:rPr>
          <w:rFonts w:ascii="Calibri" w:hAnsi="Calibri"/>
          <w:color w:val="000000" w:themeColor="text1"/>
          <w:shd w:val="clear" w:color="auto" w:fill="FFFFFF"/>
        </w:rPr>
        <w:t>”</w:t>
      </w:r>
      <w:r w:rsidR="00977A43" w:rsidRPr="00EE25D1">
        <w:rPr>
          <w:rFonts w:ascii="Calibri" w:hAnsi="Calibri"/>
          <w:color w:val="000000" w:themeColor="text1"/>
          <w:shd w:val="clear" w:color="auto" w:fill="FFFFFF"/>
        </w:rPr>
        <w:t>-</w:t>
      </w:r>
      <w:r w:rsidRPr="00EE25D1">
        <w:rPr>
          <w:rStyle w:val="Refdenotaalpie"/>
          <w:rFonts w:ascii="Calibri" w:hAnsi="Calibri"/>
          <w:color w:val="000000" w:themeColor="text1"/>
          <w:shd w:val="clear" w:color="auto" w:fill="FFFFFF"/>
        </w:rPr>
        <w:footnoteReference w:id="68"/>
      </w:r>
      <w:r w:rsidRPr="00EE25D1">
        <w:rPr>
          <w:rFonts w:ascii="Calibri" w:hAnsi="Calibri"/>
          <w:color w:val="000000" w:themeColor="text1"/>
          <w:shd w:val="clear" w:color="auto" w:fill="FFFFFF"/>
        </w:rPr>
        <w:t>, enfatizamos en la idea de que forzar la extinción de una guarda de hecho que estaba funcionando sería ir en contra de los designios sobre los cuales pivota la LAPCD</w:t>
      </w:r>
      <w:r w:rsidR="00FB323A" w:rsidRPr="00EE25D1">
        <w:rPr>
          <w:rFonts w:ascii="Calibri" w:hAnsi="Calibri"/>
          <w:color w:val="000000" w:themeColor="text1"/>
          <w:shd w:val="clear" w:color="auto" w:fill="FFFFFF"/>
        </w:rPr>
        <w:t>.</w:t>
      </w:r>
    </w:p>
    <w:p w:rsidR="002E488B" w:rsidRPr="00EE25D1" w:rsidRDefault="002E488B"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Recapitulando lo expuesto e hilvanándolo con una conclusión, podríamos decir que una int</w:t>
      </w:r>
      <w:r w:rsidR="000C0416" w:rsidRPr="00EE25D1">
        <w:rPr>
          <w:rFonts w:ascii="Calibri" w:hAnsi="Calibri"/>
          <w:color w:val="000000" w:themeColor="text1"/>
          <w:shd w:val="clear" w:color="auto" w:fill="FFFFFF"/>
        </w:rPr>
        <w:t xml:space="preserve">erpretación teleológica de los </w:t>
      </w:r>
      <w:r w:rsidR="000C0416" w:rsidRPr="00EE25D1">
        <w:rPr>
          <w:rFonts w:ascii="Calibri" w:hAnsi="Calibri"/>
        </w:rPr>
        <w:t>artículos</w:t>
      </w:r>
      <w:r w:rsidRPr="00EE25D1">
        <w:rPr>
          <w:rFonts w:ascii="Calibri" w:hAnsi="Calibri"/>
          <w:color w:val="000000" w:themeColor="text1"/>
          <w:shd w:val="clear" w:color="auto" w:fill="FFFFFF"/>
        </w:rPr>
        <w:t xml:space="preserve"> 13</w:t>
      </w:r>
      <w:r w:rsidR="00C71F23" w:rsidRPr="00EE25D1">
        <w:rPr>
          <w:rFonts w:ascii="Calibri" w:hAnsi="Calibri"/>
          <w:color w:val="000000" w:themeColor="text1"/>
          <w:shd w:val="clear" w:color="auto" w:fill="FFFFFF"/>
        </w:rPr>
        <w:t xml:space="preserve">87 y 1393.1º </w:t>
      </w:r>
      <w:r w:rsidR="00C71F23" w:rsidRPr="00EE25D1">
        <w:rPr>
          <w:rFonts w:ascii="Calibri" w:hAnsi="Calibri"/>
        </w:rPr>
        <w:t>del Código Civil</w:t>
      </w:r>
      <w:r w:rsidRPr="00EE25D1">
        <w:rPr>
          <w:rFonts w:ascii="Calibri" w:hAnsi="Calibri"/>
          <w:color w:val="000000" w:themeColor="text1"/>
          <w:shd w:val="clear" w:color="auto" w:fill="FFFFFF"/>
        </w:rPr>
        <w:t xml:space="preserve"> tendría como resultado que la guarda de hecho con facultades de representación plena es equivalente, en el ámbito de los citados artículos, a la curatela, máxime cuando el guardador </w:t>
      </w:r>
      <w:r w:rsidR="000C0416" w:rsidRPr="00EE25D1">
        <w:rPr>
          <w:rFonts w:ascii="Calibri" w:hAnsi="Calibri"/>
          <w:color w:val="000000" w:themeColor="text1"/>
          <w:shd w:val="clear" w:color="auto" w:fill="FFFFFF"/>
        </w:rPr>
        <w:t xml:space="preserve">posee, al amparo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264</w:t>
      </w:r>
      <w:r w:rsidRPr="00EE25D1">
        <w:rPr>
          <w:rFonts w:ascii="Calibri" w:hAnsi="Calibri"/>
          <w:color w:val="000000" w:themeColor="text1"/>
          <w:shd w:val="clear" w:color="auto" w:fill="FFFFFF"/>
        </w:rPr>
        <w:t xml:space="preserve">, una resolución judicial que lo legitime frente </w:t>
      </w:r>
      <w:r w:rsidR="009911CE" w:rsidRPr="00EE25D1">
        <w:rPr>
          <w:rFonts w:ascii="Calibri" w:hAnsi="Calibri"/>
          <w:color w:val="000000" w:themeColor="text1"/>
          <w:shd w:val="clear" w:color="auto" w:fill="FFFFFF"/>
        </w:rPr>
        <w:t xml:space="preserve">a terceros </w:t>
      </w:r>
      <w:r w:rsidRPr="00EE25D1">
        <w:rPr>
          <w:rFonts w:ascii="Calibri" w:hAnsi="Calibri"/>
          <w:color w:val="000000" w:themeColor="text1"/>
          <w:shd w:val="clear" w:color="auto" w:fill="FFFFFF"/>
        </w:rPr>
        <w:t xml:space="preserve">en el ejercicio </w:t>
      </w:r>
      <w:r w:rsidR="00B674CA" w:rsidRPr="00EE25D1">
        <w:rPr>
          <w:rFonts w:ascii="Calibri" w:hAnsi="Calibri"/>
          <w:color w:val="000000" w:themeColor="text1"/>
          <w:shd w:val="clear" w:color="auto" w:fill="FFFFFF"/>
        </w:rPr>
        <w:t>del apoyo</w:t>
      </w:r>
      <w:r w:rsidRPr="00EE25D1">
        <w:rPr>
          <w:rFonts w:ascii="Calibri" w:hAnsi="Calibri"/>
          <w:color w:val="000000" w:themeColor="text1"/>
          <w:shd w:val="clear" w:color="auto" w:fill="FFFFFF"/>
        </w:rPr>
        <w:t xml:space="preserve">. El </w:t>
      </w:r>
      <w:r w:rsidR="00433F29" w:rsidRPr="00EE25D1">
        <w:rPr>
          <w:rFonts w:ascii="Calibri" w:hAnsi="Calibri"/>
          <w:color w:val="000000" w:themeColor="text1"/>
          <w:shd w:val="clear" w:color="auto" w:fill="FFFFFF"/>
        </w:rPr>
        <w:t>inconveniente</w:t>
      </w:r>
      <w:r w:rsidRPr="00EE25D1">
        <w:rPr>
          <w:rFonts w:ascii="Calibri" w:hAnsi="Calibri"/>
          <w:color w:val="000000" w:themeColor="text1"/>
          <w:shd w:val="clear" w:color="auto" w:fill="FFFFFF"/>
        </w:rPr>
        <w:t xml:space="preserve"> que plantea esta conclusión es que no siempre que haya una</w:t>
      </w:r>
      <w:r w:rsidR="00312B5B" w:rsidRPr="00EE25D1">
        <w:rPr>
          <w:rFonts w:ascii="Calibri" w:hAnsi="Calibri"/>
          <w:color w:val="000000" w:themeColor="text1"/>
          <w:shd w:val="clear" w:color="auto" w:fill="FFFFFF"/>
        </w:rPr>
        <w:t xml:space="preserve"> guarda de hecho con facultades de representación</w:t>
      </w:r>
      <w:r w:rsidRPr="00EE25D1">
        <w:rPr>
          <w:rFonts w:ascii="Calibri" w:hAnsi="Calibri"/>
          <w:color w:val="000000" w:themeColor="text1"/>
          <w:shd w:val="clear" w:color="auto" w:fill="FFFFFF"/>
        </w:rPr>
        <w:t xml:space="preserve"> habrá una res</w:t>
      </w:r>
      <w:r w:rsidR="00ED60DD" w:rsidRPr="00EE25D1">
        <w:rPr>
          <w:rFonts w:ascii="Calibri" w:hAnsi="Calibri"/>
          <w:color w:val="000000" w:themeColor="text1"/>
          <w:shd w:val="clear" w:color="auto" w:fill="FFFFFF"/>
        </w:rPr>
        <w:t>olución judicial que la acredite</w:t>
      </w:r>
      <w:r w:rsidR="00312B5B" w:rsidRPr="00EE25D1">
        <w:rPr>
          <w:rFonts w:ascii="Calibri" w:hAnsi="Calibri"/>
          <w:color w:val="000000" w:themeColor="text1"/>
          <w:shd w:val="clear" w:color="auto" w:fill="FFFFFF"/>
        </w:rPr>
        <w:t>, toda vez que</w:t>
      </w:r>
      <w:r w:rsidRPr="00EE25D1">
        <w:rPr>
          <w:rFonts w:ascii="Calibri" w:hAnsi="Calibri"/>
          <w:color w:val="000000" w:themeColor="text1"/>
          <w:shd w:val="clear" w:color="auto" w:fill="FFFFFF"/>
        </w:rPr>
        <w:t xml:space="preserve"> para los actos enumerados en el </w:t>
      </w:r>
      <w:r w:rsidR="00B674CA" w:rsidRPr="00EE25D1">
        <w:rPr>
          <w:rFonts w:ascii="Calibri" w:hAnsi="Calibri"/>
          <w:color w:val="000000" w:themeColor="text1"/>
          <w:shd w:val="clear" w:color="auto" w:fill="FFFFFF"/>
        </w:rPr>
        <w:t>párrafo tercero</w:t>
      </w:r>
      <w:r w:rsidR="00312B5B" w:rsidRPr="00EE25D1">
        <w:rPr>
          <w:rFonts w:ascii="Calibri" w:hAnsi="Calibri"/>
          <w:color w:val="000000" w:themeColor="text1"/>
          <w:shd w:val="clear" w:color="auto" w:fill="FFFFFF"/>
        </w:rPr>
        <w:t xml:space="preserve">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264</w:t>
      </w:r>
      <w:r w:rsidRPr="00EE25D1">
        <w:rPr>
          <w:rFonts w:ascii="Calibri" w:hAnsi="Calibri"/>
          <w:color w:val="000000" w:themeColor="text1"/>
          <w:shd w:val="clear" w:color="auto" w:fill="FFFFFF"/>
        </w:rPr>
        <w:t xml:space="preserve"> no será necesaria autorización judicial. Huérfano el cónyuge guardado</w:t>
      </w:r>
      <w:r w:rsidR="00ED60DD" w:rsidRPr="00EE25D1">
        <w:rPr>
          <w:rFonts w:ascii="Calibri" w:hAnsi="Calibri"/>
          <w:color w:val="000000" w:themeColor="text1"/>
          <w:shd w:val="clear" w:color="auto" w:fill="FFFFFF"/>
        </w:rPr>
        <w:t>r</w:t>
      </w:r>
      <w:r w:rsidRPr="00EE25D1">
        <w:rPr>
          <w:rFonts w:ascii="Calibri" w:hAnsi="Calibri"/>
          <w:color w:val="000000" w:themeColor="text1"/>
          <w:shd w:val="clear" w:color="auto" w:fill="FFFFFF"/>
        </w:rPr>
        <w:t xml:space="preserve"> de</w:t>
      </w:r>
      <w:r w:rsidR="00ED60DD" w:rsidRPr="00EE25D1">
        <w:rPr>
          <w:rFonts w:ascii="Calibri" w:hAnsi="Calibri"/>
          <w:color w:val="000000" w:themeColor="text1"/>
          <w:shd w:val="clear" w:color="auto" w:fill="FFFFFF"/>
        </w:rPr>
        <w:t xml:space="preserve"> una</w:t>
      </w:r>
      <w:r w:rsidRPr="00EE25D1">
        <w:rPr>
          <w:rFonts w:ascii="Calibri" w:hAnsi="Calibri"/>
          <w:color w:val="000000" w:themeColor="text1"/>
          <w:shd w:val="clear" w:color="auto" w:fill="FFFFFF"/>
        </w:rPr>
        <w:t xml:space="preserve"> resolución</w:t>
      </w:r>
      <w:r w:rsidR="00312B5B" w:rsidRPr="00EE25D1">
        <w:rPr>
          <w:rFonts w:ascii="Calibri" w:hAnsi="Calibri"/>
          <w:color w:val="000000" w:themeColor="text1"/>
          <w:shd w:val="clear" w:color="auto" w:fill="FFFFFF"/>
        </w:rPr>
        <w:t xml:space="preserve"> que acredite</w:t>
      </w:r>
      <w:r w:rsidR="00B674CA" w:rsidRPr="00EE25D1">
        <w:rPr>
          <w:rFonts w:ascii="Calibri" w:hAnsi="Calibri"/>
          <w:color w:val="000000" w:themeColor="text1"/>
          <w:shd w:val="clear" w:color="auto" w:fill="FFFFFF"/>
        </w:rPr>
        <w:t xml:space="preserve"> </w:t>
      </w:r>
      <w:r w:rsidR="00B674CA" w:rsidRPr="00EE25D1">
        <w:rPr>
          <w:rFonts w:ascii="Calibri" w:hAnsi="Calibri"/>
          <w:i/>
          <w:color w:val="000000" w:themeColor="text1"/>
          <w:shd w:val="clear" w:color="auto" w:fill="FFFFFF"/>
        </w:rPr>
        <w:t>erga omnes</w:t>
      </w:r>
      <w:r w:rsidR="00B674CA" w:rsidRPr="00EE25D1">
        <w:rPr>
          <w:rFonts w:ascii="Calibri" w:hAnsi="Calibri"/>
          <w:color w:val="000000" w:themeColor="text1"/>
          <w:shd w:val="clear" w:color="auto" w:fill="FFFFFF"/>
        </w:rPr>
        <w:t xml:space="preserve"> el apoyo</w:t>
      </w:r>
      <w:r w:rsidRPr="00EE25D1">
        <w:rPr>
          <w:rFonts w:ascii="Calibri" w:hAnsi="Calibri"/>
          <w:color w:val="000000" w:themeColor="text1"/>
          <w:shd w:val="clear" w:color="auto" w:fill="FFFFFF"/>
        </w:rPr>
        <w:t>, difícilmente podrá, frente a terceros</w:t>
      </w:r>
      <w:r w:rsidR="00ED60DD" w:rsidRPr="00EE25D1">
        <w:rPr>
          <w:rFonts w:ascii="Calibri" w:hAnsi="Calibri"/>
          <w:color w:val="000000" w:themeColor="text1"/>
          <w:shd w:val="clear" w:color="auto" w:fill="FFFFFF"/>
        </w:rPr>
        <w:t xml:space="preserve">, </w:t>
      </w:r>
      <w:r w:rsidRPr="00EE25D1">
        <w:rPr>
          <w:rFonts w:ascii="Calibri" w:hAnsi="Calibri"/>
          <w:color w:val="000000" w:themeColor="text1"/>
          <w:shd w:val="clear" w:color="auto" w:fill="FFFFFF"/>
        </w:rPr>
        <w:t xml:space="preserve">administrar y disponer de los bienes comunes unilateralmente </w:t>
      </w:r>
      <w:r w:rsidRPr="00EE25D1">
        <w:rPr>
          <w:rFonts w:ascii="Calibri" w:hAnsi="Calibri"/>
          <w:i/>
          <w:color w:val="000000" w:themeColor="text1"/>
          <w:shd w:val="clear" w:color="auto" w:fill="FFFFFF"/>
        </w:rPr>
        <w:t xml:space="preserve">ex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1387</w:t>
      </w:r>
      <w:r w:rsidRPr="00EE25D1">
        <w:rPr>
          <w:rFonts w:ascii="Calibri" w:hAnsi="Calibri"/>
          <w:color w:val="000000" w:themeColor="text1"/>
          <w:shd w:val="clear" w:color="auto" w:fill="FFFFFF"/>
        </w:rPr>
        <w:t xml:space="preserve">, </w:t>
      </w:r>
      <w:r w:rsidR="00ED60DD" w:rsidRPr="00EE25D1">
        <w:rPr>
          <w:rFonts w:ascii="Calibri" w:hAnsi="Calibri"/>
          <w:color w:val="000000" w:themeColor="text1"/>
          <w:shd w:val="clear" w:color="auto" w:fill="FFFFFF"/>
        </w:rPr>
        <w:t>pues</w:t>
      </w:r>
      <w:r w:rsidRPr="00EE25D1">
        <w:rPr>
          <w:rFonts w:ascii="Calibri" w:hAnsi="Calibri"/>
          <w:color w:val="000000" w:themeColor="text1"/>
          <w:shd w:val="clear" w:color="auto" w:fill="FFFFFF"/>
        </w:rPr>
        <w:t xml:space="preserve"> no será rara la ocasión que el tercero, atento al citado artículo, exhorte al cónyuge a que exhiba la </w:t>
      </w:r>
      <w:r w:rsidR="00B674CA" w:rsidRPr="00EE25D1">
        <w:rPr>
          <w:rFonts w:ascii="Calibri" w:hAnsi="Calibri"/>
          <w:color w:val="000000" w:themeColor="text1"/>
          <w:shd w:val="clear" w:color="auto" w:fill="FFFFFF"/>
        </w:rPr>
        <w:t>resolución judicial que acredite</w:t>
      </w:r>
      <w:r w:rsidRPr="00EE25D1">
        <w:rPr>
          <w:rFonts w:ascii="Calibri" w:hAnsi="Calibri"/>
          <w:color w:val="000000" w:themeColor="text1"/>
          <w:shd w:val="clear" w:color="auto" w:fill="FFFFFF"/>
        </w:rPr>
        <w:t xml:space="preserve"> la curatela representativa o, al menos, la guarda de hecho con facultades de representación. </w:t>
      </w:r>
    </w:p>
    <w:p w:rsidR="002E488B" w:rsidRPr="00EE25D1" w:rsidRDefault="002E488B"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Lo mismo cabría esgrimir, con matices, en sede de disolución de la sociedad de gananciales, da</w:t>
      </w:r>
      <w:r w:rsidR="000C0416" w:rsidRPr="00EE25D1">
        <w:rPr>
          <w:rFonts w:ascii="Calibri" w:hAnsi="Calibri"/>
          <w:color w:val="000000" w:themeColor="text1"/>
          <w:shd w:val="clear" w:color="auto" w:fill="FFFFFF"/>
        </w:rPr>
        <w:t xml:space="preserve">da cuenta que 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1393.1º</w:t>
      </w:r>
      <w:r w:rsidRPr="00EE25D1">
        <w:rPr>
          <w:rFonts w:ascii="Calibri" w:hAnsi="Calibri"/>
          <w:color w:val="000000" w:themeColor="text1"/>
          <w:shd w:val="clear" w:color="auto" w:fill="FFFFFF"/>
        </w:rPr>
        <w:t xml:space="preserve"> dice que para que el Juzgado declare la disolución </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bastará</w:t>
      </w:r>
      <w:r w:rsidR="00713CC7" w:rsidRPr="00EE25D1">
        <w:rPr>
          <w:rFonts w:ascii="Calibri" w:hAnsi="Calibri"/>
          <w:color w:val="000000" w:themeColor="text1"/>
          <w:shd w:val="clear" w:color="auto" w:fill="FFFFFF"/>
        </w:rPr>
        <w:t>”</w:t>
      </w:r>
      <w:r w:rsidRPr="00EE25D1">
        <w:rPr>
          <w:rFonts w:ascii="Calibri" w:hAnsi="Calibri"/>
          <w:color w:val="000000" w:themeColor="text1"/>
          <w:shd w:val="clear" w:color="auto" w:fill="FFFFFF"/>
        </w:rPr>
        <w:t xml:space="preserve"> que el cónyuge que la pidiere presente la correspondiente resolución judicial. No habiendo resolución judicial del guardador porque </w:t>
      </w:r>
      <w:r w:rsidR="002A2EF3" w:rsidRPr="00EE25D1">
        <w:rPr>
          <w:rFonts w:ascii="Calibri" w:hAnsi="Calibri"/>
          <w:color w:val="000000" w:themeColor="text1"/>
          <w:shd w:val="clear" w:color="auto" w:fill="FFFFFF"/>
        </w:rPr>
        <w:t>la función</w:t>
      </w:r>
      <w:r w:rsidR="00213EBB" w:rsidRPr="00EE25D1">
        <w:rPr>
          <w:rFonts w:ascii="Calibri" w:hAnsi="Calibri"/>
          <w:color w:val="000000" w:themeColor="text1"/>
          <w:shd w:val="clear" w:color="auto" w:fill="FFFFFF"/>
        </w:rPr>
        <w:t xml:space="preserve"> de representación la desarrolle</w:t>
      </w:r>
      <w:r w:rsidR="002A2EF3" w:rsidRPr="00EE25D1">
        <w:rPr>
          <w:rFonts w:ascii="Calibri" w:hAnsi="Calibri"/>
          <w:color w:val="000000" w:themeColor="text1"/>
          <w:shd w:val="clear" w:color="auto" w:fill="FFFFFF"/>
        </w:rPr>
        <w:t xml:space="preserve"> par</w:t>
      </w:r>
      <w:r w:rsidRPr="00EE25D1">
        <w:rPr>
          <w:rFonts w:ascii="Calibri" w:hAnsi="Calibri"/>
          <w:color w:val="000000" w:themeColor="text1"/>
          <w:shd w:val="clear" w:color="auto" w:fill="FFFFFF"/>
        </w:rPr>
        <w:t>a los actos de</w:t>
      </w:r>
      <w:r w:rsidR="000C0416" w:rsidRPr="00EE25D1">
        <w:rPr>
          <w:rFonts w:ascii="Calibri" w:hAnsi="Calibri"/>
          <w:color w:val="000000" w:themeColor="text1"/>
          <w:shd w:val="clear" w:color="auto" w:fill="FFFFFF"/>
        </w:rPr>
        <w:t xml:space="preserve">l tercer párrafo del </w:t>
      </w:r>
      <w:r w:rsidR="000C0416" w:rsidRPr="00EE25D1">
        <w:rPr>
          <w:rFonts w:ascii="Calibri" w:hAnsi="Calibri"/>
        </w:rPr>
        <w:t>artículo</w:t>
      </w:r>
      <w:r w:rsidR="00C71F23" w:rsidRPr="00EE25D1">
        <w:rPr>
          <w:rFonts w:ascii="Calibri" w:hAnsi="Calibri"/>
          <w:color w:val="000000" w:themeColor="text1"/>
          <w:shd w:val="clear" w:color="auto" w:fill="FFFFFF"/>
        </w:rPr>
        <w:t xml:space="preserve"> 264</w:t>
      </w:r>
      <w:r w:rsidRPr="00EE25D1">
        <w:rPr>
          <w:rFonts w:ascii="Calibri" w:hAnsi="Calibri"/>
          <w:color w:val="000000" w:themeColor="text1"/>
          <w:shd w:val="clear" w:color="auto" w:fill="FFFFFF"/>
        </w:rPr>
        <w:t xml:space="preserve">, </w:t>
      </w:r>
      <w:r w:rsidR="00ED60DD" w:rsidRPr="00EE25D1">
        <w:rPr>
          <w:rFonts w:ascii="Calibri" w:hAnsi="Calibri"/>
          <w:color w:val="000000" w:themeColor="text1"/>
          <w:shd w:val="clear" w:color="auto" w:fill="FFFFFF"/>
        </w:rPr>
        <w:t>será difícil, sino imposible, que este aporte una resolución acreditando una medida de apoyo cuyo carácter judicial brill</w:t>
      </w:r>
      <w:r w:rsidR="00B674CA" w:rsidRPr="00EE25D1">
        <w:rPr>
          <w:rFonts w:ascii="Calibri" w:hAnsi="Calibri"/>
          <w:color w:val="000000" w:themeColor="text1"/>
          <w:shd w:val="clear" w:color="auto" w:fill="FFFFFF"/>
        </w:rPr>
        <w:t>e</w:t>
      </w:r>
      <w:r w:rsidR="00ED60DD" w:rsidRPr="00EE25D1">
        <w:rPr>
          <w:rFonts w:ascii="Calibri" w:hAnsi="Calibri"/>
          <w:color w:val="000000" w:themeColor="text1"/>
          <w:shd w:val="clear" w:color="auto" w:fill="FFFFFF"/>
        </w:rPr>
        <w:t xml:space="preserve"> por su ausencia. </w:t>
      </w:r>
      <w:r w:rsidR="00433F29" w:rsidRPr="00EE25D1">
        <w:rPr>
          <w:rFonts w:ascii="Calibri" w:hAnsi="Calibri"/>
          <w:color w:val="000000" w:themeColor="text1"/>
          <w:shd w:val="clear" w:color="auto" w:fill="FFFFFF"/>
        </w:rPr>
        <w:t xml:space="preserve">No obstante, a nuestro modo de ver la expresión </w:t>
      </w:r>
      <w:r w:rsidR="00713CC7" w:rsidRPr="00EE25D1">
        <w:rPr>
          <w:rFonts w:ascii="Calibri" w:hAnsi="Calibri"/>
          <w:color w:val="000000" w:themeColor="text1"/>
          <w:shd w:val="clear" w:color="auto" w:fill="FFFFFF"/>
        </w:rPr>
        <w:t>“</w:t>
      </w:r>
      <w:r w:rsidR="00433F29" w:rsidRPr="00EE25D1">
        <w:rPr>
          <w:rFonts w:ascii="Calibri" w:hAnsi="Calibri"/>
          <w:color w:val="000000" w:themeColor="text1"/>
          <w:shd w:val="clear" w:color="auto" w:fill="FFFFFF"/>
        </w:rPr>
        <w:t>bastará</w:t>
      </w:r>
      <w:r w:rsidR="00713CC7" w:rsidRPr="00EE25D1">
        <w:rPr>
          <w:rFonts w:ascii="Calibri" w:hAnsi="Calibri"/>
          <w:color w:val="000000" w:themeColor="text1"/>
          <w:shd w:val="clear" w:color="auto" w:fill="FFFFFF"/>
        </w:rPr>
        <w:t>”</w:t>
      </w:r>
      <w:r w:rsidR="00433F29" w:rsidRPr="00EE25D1">
        <w:rPr>
          <w:rFonts w:ascii="Calibri" w:hAnsi="Calibri"/>
          <w:color w:val="000000" w:themeColor="text1"/>
          <w:shd w:val="clear" w:color="auto" w:fill="FFFFFF"/>
        </w:rPr>
        <w:t xml:space="preserve"> no excluye necesariamente que el cónyuge presente en el Juzgado, en vez de una resolución judicial, la escritura pública de poderes preventivos a fin de acreditar que su consorte dispuso que, en caso de merma de sus facultades, estaría</w:t>
      </w:r>
      <w:r w:rsidR="00213EBB" w:rsidRPr="00EE25D1">
        <w:rPr>
          <w:rFonts w:ascii="Calibri" w:hAnsi="Calibri"/>
          <w:color w:val="000000" w:themeColor="text1"/>
          <w:shd w:val="clear" w:color="auto" w:fill="FFFFFF"/>
        </w:rPr>
        <w:t xml:space="preserve"> a</w:t>
      </w:r>
      <w:r w:rsidR="00433F29" w:rsidRPr="00EE25D1">
        <w:rPr>
          <w:rFonts w:ascii="Calibri" w:hAnsi="Calibri"/>
          <w:color w:val="000000" w:themeColor="text1"/>
          <w:shd w:val="clear" w:color="auto" w:fill="FFFFFF"/>
        </w:rPr>
        <w:t xml:space="preserve"> merced de una medida de apoyo con facultades de representación. </w:t>
      </w:r>
    </w:p>
    <w:p w:rsidR="00A91C27" w:rsidRPr="00EE25D1" w:rsidRDefault="00DD1C49" w:rsidP="00D44BF1">
      <w:pPr>
        <w:tabs>
          <w:tab w:val="left" w:pos="8505"/>
        </w:tabs>
        <w:spacing w:before="100" w:beforeAutospacing="1" w:after="100" w:afterAutospacing="1"/>
        <w:rPr>
          <w:rFonts w:ascii="Calibri" w:hAnsi="Calibri"/>
          <w:color w:val="000000" w:themeColor="text1"/>
          <w:shd w:val="clear" w:color="auto" w:fill="FFFFFF"/>
        </w:rPr>
      </w:pPr>
      <w:r w:rsidRPr="00EE25D1">
        <w:rPr>
          <w:rFonts w:ascii="Calibri" w:hAnsi="Calibri"/>
          <w:color w:val="000000" w:themeColor="text1"/>
          <w:shd w:val="clear" w:color="auto" w:fill="FFFFFF"/>
        </w:rPr>
        <w:t xml:space="preserve">A tenor del </w:t>
      </w:r>
      <w:r w:rsidRPr="00EE25D1">
        <w:rPr>
          <w:rFonts w:ascii="Calibri" w:hAnsi="Calibri"/>
          <w:i/>
          <w:color w:val="000000" w:themeColor="text1"/>
          <w:shd w:val="clear" w:color="auto" w:fill="FFFFFF"/>
        </w:rPr>
        <w:t>status quo</w:t>
      </w:r>
      <w:r w:rsidR="0061580C" w:rsidRPr="00EE25D1">
        <w:rPr>
          <w:rFonts w:ascii="Calibri" w:hAnsi="Calibri"/>
          <w:color w:val="000000" w:themeColor="text1"/>
          <w:shd w:val="clear" w:color="auto" w:fill="FFFFFF"/>
        </w:rPr>
        <w:t xml:space="preserve"> y de la corriente de algunos Juzgados de descartar la curatela si existe previamente una guarda de hecho, </w:t>
      </w:r>
      <w:r w:rsidRPr="00EE25D1">
        <w:rPr>
          <w:rFonts w:ascii="Calibri" w:hAnsi="Calibri"/>
          <w:color w:val="000000" w:themeColor="text1"/>
          <w:shd w:val="clear" w:color="auto" w:fill="FFFFFF"/>
        </w:rPr>
        <w:t xml:space="preserve">sería menester, de </w:t>
      </w:r>
      <w:r w:rsidRPr="00EE25D1">
        <w:rPr>
          <w:rFonts w:ascii="Calibri" w:hAnsi="Calibri"/>
          <w:i/>
          <w:color w:val="000000" w:themeColor="text1"/>
          <w:shd w:val="clear" w:color="auto" w:fill="FFFFFF"/>
        </w:rPr>
        <w:t>lege ferenda</w:t>
      </w:r>
      <w:r w:rsidRPr="00EE25D1">
        <w:rPr>
          <w:rFonts w:ascii="Calibri" w:hAnsi="Calibri"/>
          <w:color w:val="000000" w:themeColor="text1"/>
          <w:shd w:val="clear" w:color="auto" w:fill="FFFFFF"/>
        </w:rPr>
        <w:t xml:space="preserve">, que el legislador contemplara la guarda de hecho con facultades de representación como una medida de apoyo que sirva de legitimación para la administración y disposición </w:t>
      </w:r>
      <w:r w:rsidRPr="00EE25D1">
        <w:rPr>
          <w:rFonts w:ascii="Calibri" w:hAnsi="Calibri"/>
          <w:i/>
          <w:color w:val="000000" w:themeColor="text1"/>
          <w:shd w:val="clear" w:color="auto" w:fill="FFFFFF"/>
        </w:rPr>
        <w:t xml:space="preserve">ope legis </w:t>
      </w:r>
      <w:r w:rsidRPr="00EE25D1">
        <w:rPr>
          <w:rFonts w:ascii="Calibri" w:hAnsi="Calibri"/>
          <w:color w:val="000000" w:themeColor="text1"/>
          <w:shd w:val="clear" w:color="auto" w:fill="FFFFFF"/>
        </w:rPr>
        <w:t>de los bienes comunes y, en su caso, para instar la disolución judicial</w:t>
      </w:r>
      <w:r w:rsidR="00433F29" w:rsidRPr="00EE25D1">
        <w:rPr>
          <w:rFonts w:ascii="Calibri" w:hAnsi="Calibri"/>
          <w:color w:val="000000" w:themeColor="text1"/>
          <w:shd w:val="clear" w:color="auto" w:fill="FFFFFF"/>
        </w:rPr>
        <w:t xml:space="preserve"> de la sociedad de gananciales, no siendo obstáculo a esta propuesta que la guarda de hecho con facultades de representación a veces no vaya respaldada por una resolución judicial, pues como dice García Rubio, </w:t>
      </w:r>
      <w:r w:rsidR="00DF67F5" w:rsidRPr="00EE25D1">
        <w:rPr>
          <w:rFonts w:ascii="Calibri" w:hAnsi="Calibri"/>
          <w:color w:val="000000" w:themeColor="text1"/>
          <w:shd w:val="clear" w:color="auto" w:fill="FFFFFF"/>
        </w:rPr>
        <w:t xml:space="preserve">a la sazón prócer de la LAPCD, </w:t>
      </w:r>
      <w:r w:rsidR="00433F29" w:rsidRPr="00EE25D1">
        <w:rPr>
          <w:rFonts w:ascii="Calibri" w:hAnsi="Calibri"/>
          <w:color w:val="000000" w:themeColor="text1"/>
          <w:shd w:val="clear" w:color="auto" w:fill="FFFFFF"/>
        </w:rPr>
        <w:t xml:space="preserve">la desjudicialización de la guarda no implica que el guardador no posea de herramientas que le permitan acreditar la medida de apoyo </w:t>
      </w:r>
      <w:r w:rsidR="00433F29" w:rsidRPr="00EE25D1">
        <w:rPr>
          <w:rFonts w:ascii="Calibri" w:hAnsi="Calibri"/>
          <w:i/>
          <w:color w:val="000000" w:themeColor="text1"/>
          <w:shd w:val="clear" w:color="auto" w:fill="FFFFFF"/>
        </w:rPr>
        <w:t>erga omnes</w:t>
      </w:r>
      <w:r w:rsidR="00433F29" w:rsidRPr="00EE25D1">
        <w:rPr>
          <w:rFonts w:ascii="Calibri" w:hAnsi="Calibri"/>
          <w:color w:val="000000" w:themeColor="text1"/>
          <w:shd w:val="clear" w:color="auto" w:fill="FFFFFF"/>
        </w:rPr>
        <w:t xml:space="preserve">, </w:t>
      </w:r>
      <w:r w:rsidR="00DF67F5" w:rsidRPr="00EE25D1">
        <w:rPr>
          <w:rFonts w:ascii="Calibri" w:hAnsi="Calibri"/>
          <w:color w:val="000000" w:themeColor="text1"/>
          <w:shd w:val="clear" w:color="auto" w:fill="FFFFFF"/>
        </w:rPr>
        <w:t xml:space="preserve">entendiendo la autora que cabría recurrir a un acta de notoriedad para dotar al guardador de hecho de un título que </w:t>
      </w:r>
      <w:r w:rsidR="00713CC7" w:rsidRPr="00EE25D1">
        <w:rPr>
          <w:rFonts w:ascii="Calibri" w:hAnsi="Calibri"/>
          <w:color w:val="000000" w:themeColor="text1"/>
          <w:shd w:val="clear" w:color="auto" w:fill="FFFFFF"/>
        </w:rPr>
        <w:t>“</w:t>
      </w:r>
      <w:r w:rsidR="00DF67F5" w:rsidRPr="00EE25D1">
        <w:rPr>
          <w:rFonts w:ascii="Calibri" w:hAnsi="Calibri"/>
          <w:color w:val="000000" w:themeColor="text1"/>
          <w:shd w:val="clear" w:color="auto" w:fill="FFFFFF"/>
        </w:rPr>
        <w:t>le permita justificar la situación fáctica ante la autoridad judicial o entidad pública de que se trate</w:t>
      </w:r>
      <w:r w:rsidR="00713CC7" w:rsidRPr="00EE25D1">
        <w:rPr>
          <w:rFonts w:ascii="Calibri" w:hAnsi="Calibri"/>
          <w:color w:val="000000" w:themeColor="text1"/>
          <w:shd w:val="clear" w:color="auto" w:fill="FFFFFF"/>
        </w:rPr>
        <w:t>”</w:t>
      </w:r>
      <w:r w:rsidR="00DF67F5" w:rsidRPr="00EE25D1">
        <w:rPr>
          <w:rStyle w:val="Refdenotaalpie"/>
          <w:rFonts w:ascii="Calibri" w:hAnsi="Calibri"/>
          <w:color w:val="000000" w:themeColor="text1"/>
          <w:shd w:val="clear" w:color="auto" w:fill="FFFFFF"/>
        </w:rPr>
        <w:footnoteReference w:id="69"/>
      </w:r>
      <w:r w:rsidR="00DF67F5" w:rsidRPr="00EE25D1">
        <w:rPr>
          <w:rFonts w:ascii="Calibri" w:hAnsi="Calibri"/>
          <w:color w:val="000000" w:themeColor="text1"/>
          <w:shd w:val="clear" w:color="auto" w:fill="FFFFFF"/>
        </w:rPr>
        <w:t>, puntualizando Nieto Alonso que las actas de notoriedad vienen avaladas por el juicio indubitado del Notario de lo probado y de la función que ejerce el guardador en el ámbito social de la persona con discapacidad</w:t>
      </w:r>
      <w:r w:rsidR="00DF67F5" w:rsidRPr="00EE25D1">
        <w:rPr>
          <w:rStyle w:val="Refdenotaalpie"/>
          <w:rFonts w:ascii="Calibri" w:hAnsi="Calibri"/>
          <w:color w:val="000000" w:themeColor="text1"/>
          <w:shd w:val="clear" w:color="auto" w:fill="FFFFFF"/>
        </w:rPr>
        <w:footnoteReference w:id="70"/>
      </w:r>
      <w:r w:rsidR="00DF67F5" w:rsidRPr="00EE25D1">
        <w:rPr>
          <w:rFonts w:ascii="Calibri" w:hAnsi="Calibri"/>
          <w:color w:val="000000" w:themeColor="text1"/>
          <w:shd w:val="clear" w:color="auto" w:fill="FFFFFF"/>
        </w:rPr>
        <w:t>.</w:t>
      </w:r>
    </w:p>
    <w:p w:rsidR="007E5D8F" w:rsidRPr="00EE25D1" w:rsidRDefault="007E5D8F" w:rsidP="00D44BF1">
      <w:pPr>
        <w:tabs>
          <w:tab w:val="left" w:pos="8505"/>
        </w:tabs>
        <w:spacing w:before="100" w:beforeAutospacing="1" w:after="100" w:afterAutospacing="1"/>
        <w:rPr>
          <w:rFonts w:ascii="Calibri" w:hAnsi="Calibri"/>
          <w:smallCaps/>
          <w:color w:val="000000" w:themeColor="text1"/>
          <w:shd w:val="clear" w:color="auto" w:fill="FFFFFF"/>
        </w:rPr>
      </w:pPr>
      <w:r w:rsidRPr="00EE25D1">
        <w:rPr>
          <w:rFonts w:ascii="Calibri" w:hAnsi="Calibri"/>
          <w:smallCaps/>
          <w:color w:val="000000" w:themeColor="text1"/>
          <w:shd w:val="clear" w:color="auto" w:fill="FFFFFF"/>
        </w:rPr>
        <w:t>Bibliografía</w:t>
      </w:r>
    </w:p>
    <w:p w:rsidR="00E909E8" w:rsidRPr="00EE25D1" w:rsidRDefault="00E909E8"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Amorós Guardiola</w:t>
      </w:r>
      <w:r w:rsidRPr="00EE25D1">
        <w:rPr>
          <w:rFonts w:ascii="Calibri" w:hAnsi="Calibri"/>
          <w:sz w:val="24"/>
          <w:szCs w:val="24"/>
        </w:rPr>
        <w:t xml:space="preserve">, Manuel, «De las capitulaciones matrimoniales», en AA.VV., </w:t>
      </w:r>
      <w:r w:rsidRPr="00EE25D1">
        <w:rPr>
          <w:rFonts w:ascii="Calibri" w:hAnsi="Calibri"/>
          <w:i/>
          <w:sz w:val="24"/>
          <w:szCs w:val="24"/>
        </w:rPr>
        <w:t>Comentarios a las reformas del Derecho de familia</w:t>
      </w:r>
      <w:r w:rsidRPr="00EE25D1">
        <w:rPr>
          <w:rFonts w:ascii="Calibri" w:hAnsi="Calibri"/>
          <w:sz w:val="24"/>
          <w:szCs w:val="24"/>
        </w:rPr>
        <w:t>, vol. II, Tecnos, Madrid, 1984.</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Álvarez Lata</w:t>
      </w:r>
      <w:r w:rsidRPr="00EE25D1">
        <w:rPr>
          <w:rFonts w:ascii="Calibri" w:hAnsi="Calibri"/>
          <w:sz w:val="24"/>
          <w:szCs w:val="24"/>
        </w:rPr>
        <w:t xml:space="preserve">, Natalia, «Artículos 249 al 253», en AA.VV., </w:t>
      </w:r>
      <w:r w:rsidRPr="00EE25D1">
        <w:rPr>
          <w:rFonts w:ascii="Calibri" w:hAnsi="Calibri"/>
          <w:i/>
          <w:sz w:val="24"/>
          <w:szCs w:val="24"/>
        </w:rPr>
        <w:t xml:space="preserve">Comentarios al Código Civil, </w:t>
      </w:r>
      <w:r w:rsidRPr="00EE25D1">
        <w:rPr>
          <w:rFonts w:ascii="Calibri" w:hAnsi="Calibri"/>
          <w:sz w:val="24"/>
          <w:szCs w:val="24"/>
        </w:rPr>
        <w:t>Aranzadi, Pamplona, 2021.</w:t>
      </w:r>
    </w:p>
    <w:p w:rsidR="00B97001" w:rsidRPr="00EE25D1" w:rsidRDefault="00B97001" w:rsidP="00D44BF1">
      <w:pPr>
        <w:pStyle w:val="Textonotapie"/>
        <w:spacing w:before="80" w:after="80" w:line="276" w:lineRule="auto"/>
        <w:rPr>
          <w:rFonts w:ascii="Calibri" w:hAnsi="Calibri"/>
          <w:sz w:val="24"/>
          <w:szCs w:val="24"/>
        </w:rPr>
      </w:pPr>
      <w:r w:rsidRPr="00EE25D1">
        <w:rPr>
          <w:rFonts w:ascii="Calibri" w:hAnsi="Calibri"/>
          <w:smallCaps/>
          <w:sz w:val="24"/>
          <w:szCs w:val="24"/>
        </w:rPr>
        <w:t>-</w:t>
      </w:r>
      <w:r w:rsidRPr="00EE25D1">
        <w:rPr>
          <w:rFonts w:ascii="Calibri" w:hAnsi="Calibri"/>
          <w:sz w:val="24"/>
          <w:szCs w:val="24"/>
        </w:rPr>
        <w:t xml:space="preserve"> «Artículos 263 al 267», en AA.VV., </w:t>
      </w:r>
      <w:r w:rsidRPr="00EE25D1">
        <w:rPr>
          <w:rFonts w:ascii="Calibri" w:hAnsi="Calibri"/>
          <w:i/>
          <w:sz w:val="24"/>
          <w:szCs w:val="24"/>
        </w:rPr>
        <w:t xml:space="preserve">Comentarios al Código Civil, </w:t>
      </w:r>
      <w:r w:rsidRPr="00EE25D1">
        <w:rPr>
          <w:rFonts w:ascii="Calibri" w:hAnsi="Calibri"/>
          <w:sz w:val="24"/>
          <w:szCs w:val="24"/>
        </w:rPr>
        <w:t>Aranzadi, Pamplona, 2021.</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mallCaps/>
          <w:sz w:val="24"/>
          <w:szCs w:val="24"/>
        </w:rPr>
        <w:t>Berrocal Lanzarot</w:t>
      </w:r>
      <w:r w:rsidRPr="00EE25D1">
        <w:rPr>
          <w:rFonts w:ascii="Calibri" w:hAnsi="Calibri"/>
          <w:sz w:val="24"/>
          <w:szCs w:val="24"/>
        </w:rPr>
        <w:t>, Ana I</w:t>
      </w:r>
      <w:r w:rsidR="00E909E8" w:rsidRPr="00EE25D1">
        <w:rPr>
          <w:rFonts w:ascii="Calibri" w:hAnsi="Calibri"/>
          <w:sz w:val="24"/>
          <w:szCs w:val="24"/>
        </w:rPr>
        <w:t>sabel,</w:t>
      </w:r>
      <w:r w:rsidRPr="00EE25D1">
        <w:rPr>
          <w:rFonts w:ascii="Calibri" w:hAnsi="Calibri"/>
          <w:sz w:val="24"/>
          <w:szCs w:val="24"/>
        </w:rPr>
        <w:t xml:space="preserve"> «Protección jurídica de la persona con la capacidad modificada judicialmente. El matrimonio», </w:t>
      </w:r>
      <w:r w:rsidRPr="00EE25D1">
        <w:rPr>
          <w:rFonts w:ascii="Calibri" w:hAnsi="Calibri"/>
          <w:i/>
          <w:sz w:val="24"/>
          <w:szCs w:val="24"/>
        </w:rPr>
        <w:t>Revista Crítica de Derecho Inmobiliario</w:t>
      </w:r>
      <w:r w:rsidRPr="00EE25D1">
        <w:rPr>
          <w:rFonts w:ascii="Calibri" w:hAnsi="Calibri"/>
          <w:sz w:val="24"/>
          <w:szCs w:val="24"/>
        </w:rPr>
        <w:t>, núm. 770 (2018).</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Barba</w:t>
      </w:r>
      <w:r w:rsidRPr="00EE25D1">
        <w:rPr>
          <w:rFonts w:ascii="Calibri" w:hAnsi="Calibri"/>
          <w:sz w:val="24"/>
          <w:szCs w:val="24"/>
        </w:rPr>
        <w:t>, Vincenzo, «Principios generales de las medidas de apoyo en el marco de la convención de Nueva York»,</w:t>
      </w:r>
      <w:r w:rsidR="00400D85" w:rsidRPr="00EE25D1">
        <w:rPr>
          <w:rFonts w:ascii="Calibri" w:hAnsi="Calibri"/>
          <w:sz w:val="24"/>
          <w:szCs w:val="24"/>
        </w:rPr>
        <w:t xml:space="preserve"> en AA.VV., </w:t>
      </w:r>
      <w:r w:rsidR="00400D85" w:rsidRPr="00EE25D1">
        <w:rPr>
          <w:rFonts w:ascii="Calibri" w:hAnsi="Calibri"/>
          <w:i/>
          <w:sz w:val="24"/>
          <w:szCs w:val="24"/>
        </w:rPr>
        <w:t>Un nuevo orden jurídico para las personas con discapacidad</w:t>
      </w:r>
      <w:r w:rsidR="00400D85" w:rsidRPr="00EE25D1">
        <w:rPr>
          <w:rFonts w:ascii="Calibri" w:hAnsi="Calibri"/>
          <w:sz w:val="24"/>
          <w:szCs w:val="24"/>
        </w:rPr>
        <w:t>, Wolters Kluwers, Madrid, 2021.</w:t>
      </w:r>
    </w:p>
    <w:p w:rsidR="00400D85" w:rsidRPr="00EE25D1" w:rsidRDefault="00400D85" w:rsidP="00D44BF1">
      <w:pPr>
        <w:pStyle w:val="Textonotapie"/>
        <w:spacing w:before="80" w:after="80" w:line="276" w:lineRule="auto"/>
        <w:rPr>
          <w:rFonts w:ascii="Calibri" w:hAnsi="Calibri"/>
          <w:sz w:val="24"/>
          <w:szCs w:val="24"/>
        </w:rPr>
      </w:pPr>
      <w:r w:rsidRPr="00EE25D1">
        <w:rPr>
          <w:rFonts w:ascii="Calibri" w:hAnsi="Calibri"/>
          <w:smallCaps/>
          <w:sz w:val="24"/>
          <w:szCs w:val="24"/>
        </w:rPr>
        <w:t>Castán Pérez-Gómez</w:t>
      </w:r>
      <w:r w:rsidRPr="00EE25D1">
        <w:rPr>
          <w:rFonts w:ascii="Calibri" w:hAnsi="Calibri"/>
          <w:sz w:val="24"/>
          <w:szCs w:val="24"/>
        </w:rPr>
        <w:t xml:space="preserve">, Santiago, «La curatela: ¿una nueva institución?», en AA.VV., </w:t>
      </w:r>
      <w:r w:rsidRPr="00EE25D1">
        <w:rPr>
          <w:rFonts w:ascii="Calibri" w:hAnsi="Calibri"/>
          <w:i/>
          <w:sz w:val="24"/>
          <w:szCs w:val="24"/>
        </w:rPr>
        <w:t>El ejercicio de la capacidad jurídica por las personas con discapacidad tras la Ley 8/2021, de 2 de junio</w:t>
      </w:r>
      <w:r w:rsidRPr="00EE25D1">
        <w:rPr>
          <w:rFonts w:ascii="Calibri" w:hAnsi="Calibri"/>
          <w:sz w:val="24"/>
          <w:szCs w:val="24"/>
        </w:rPr>
        <w:t>, Tirant lo Blanch, Valencia, 2022.</w:t>
      </w:r>
    </w:p>
    <w:p w:rsidR="007E5D8F" w:rsidRPr="00EE25D1" w:rsidRDefault="007E5D8F"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Castán Tobeñas</w:t>
      </w:r>
      <w:r w:rsidRPr="00EE25D1">
        <w:rPr>
          <w:rFonts w:ascii="Calibri" w:hAnsi="Calibri"/>
          <w:sz w:val="24"/>
          <w:szCs w:val="24"/>
        </w:rPr>
        <w:t xml:space="preserve">, José, </w:t>
      </w:r>
      <w:r w:rsidRPr="00EE25D1">
        <w:rPr>
          <w:rFonts w:ascii="Calibri" w:hAnsi="Calibri"/>
          <w:i/>
          <w:sz w:val="24"/>
          <w:szCs w:val="24"/>
        </w:rPr>
        <w:t xml:space="preserve">Derecho civil español, común y foral. t. V. Derecho de familia. vol. I. Relaciones conyugales, </w:t>
      </w:r>
      <w:r w:rsidRPr="00EE25D1">
        <w:rPr>
          <w:rFonts w:ascii="Calibri" w:hAnsi="Calibri"/>
          <w:sz w:val="24"/>
          <w:szCs w:val="24"/>
        </w:rPr>
        <w:t>Reus, Madrid, 1994.</w:t>
      </w:r>
    </w:p>
    <w:p w:rsidR="00E909E8" w:rsidRPr="00EE25D1" w:rsidRDefault="00E909E8"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Díez Picazo</w:t>
      </w:r>
      <w:r w:rsidRPr="00EE25D1">
        <w:rPr>
          <w:rFonts w:ascii="Calibri" w:hAnsi="Calibri"/>
          <w:sz w:val="24"/>
          <w:szCs w:val="24"/>
        </w:rPr>
        <w:t xml:space="preserve">, Luis, «El negocio jurídico del Derecho de familia», </w:t>
      </w:r>
      <w:r w:rsidRPr="00EE25D1">
        <w:rPr>
          <w:rFonts w:ascii="Calibri" w:hAnsi="Calibri"/>
          <w:i/>
          <w:sz w:val="24"/>
          <w:szCs w:val="24"/>
        </w:rPr>
        <w:t>Revista General de Legislación y Jurisprudencia</w:t>
      </w:r>
      <w:r w:rsidRPr="00EE25D1">
        <w:rPr>
          <w:rFonts w:ascii="Calibri" w:hAnsi="Calibri"/>
          <w:sz w:val="24"/>
          <w:szCs w:val="24"/>
        </w:rPr>
        <w:t>, núm. 6 (1962).</w:t>
      </w:r>
    </w:p>
    <w:p w:rsidR="007E5D8F" w:rsidRPr="00EE25D1" w:rsidRDefault="007E5D8F"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De Salas Murillo</w:t>
      </w:r>
      <w:r w:rsidRPr="00EE25D1">
        <w:rPr>
          <w:rFonts w:ascii="Calibri" w:hAnsi="Calibri"/>
          <w:sz w:val="24"/>
          <w:szCs w:val="24"/>
        </w:rPr>
        <w:t xml:space="preserve">, Sofía, «Significado jurídico del apoyo en el ejercicio de la capacidad jurídica de las personas con discapacidad: presente tras diez años de la Convención», </w:t>
      </w:r>
      <w:r w:rsidRPr="00EE25D1">
        <w:rPr>
          <w:rFonts w:ascii="Calibri" w:hAnsi="Calibri"/>
          <w:i/>
          <w:sz w:val="24"/>
          <w:szCs w:val="24"/>
        </w:rPr>
        <w:t>Revista Doctrinal Aranzadi Civil-Mercantil</w:t>
      </w:r>
      <w:r w:rsidRPr="00EE25D1">
        <w:rPr>
          <w:rFonts w:ascii="Calibri" w:hAnsi="Calibri"/>
          <w:sz w:val="24"/>
          <w:szCs w:val="24"/>
        </w:rPr>
        <w:t>, núm. 5 (2018).</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mallCaps/>
          <w:sz w:val="24"/>
          <w:szCs w:val="24"/>
        </w:rPr>
        <w:t>De Verda y Beamonte</w:t>
      </w:r>
      <w:r w:rsidRPr="00EE25D1">
        <w:rPr>
          <w:rFonts w:ascii="Calibri" w:hAnsi="Calibri"/>
          <w:sz w:val="24"/>
          <w:szCs w:val="24"/>
        </w:rPr>
        <w:t xml:space="preserve">, José Ramón y </w:t>
      </w:r>
      <w:r w:rsidRPr="00EE25D1">
        <w:rPr>
          <w:rFonts w:ascii="Calibri" w:hAnsi="Calibri"/>
          <w:smallCaps/>
          <w:sz w:val="24"/>
          <w:szCs w:val="24"/>
        </w:rPr>
        <w:t>Chaparro Matamoros</w:t>
      </w:r>
      <w:r w:rsidRPr="00EE25D1">
        <w:rPr>
          <w:rFonts w:ascii="Calibri" w:hAnsi="Calibri"/>
          <w:sz w:val="24"/>
          <w:szCs w:val="24"/>
        </w:rPr>
        <w:t xml:space="preserve">, Pedro, «El matrimonio: constitución, requisitos de validez y efectos», en AA.VV., </w:t>
      </w:r>
      <w:r w:rsidRPr="00EE25D1">
        <w:rPr>
          <w:rFonts w:ascii="Calibri" w:hAnsi="Calibri"/>
          <w:i/>
          <w:sz w:val="24"/>
          <w:szCs w:val="24"/>
        </w:rPr>
        <w:t>Las crisis familiares. Tratado práctico interdisciplinar</w:t>
      </w:r>
      <w:r w:rsidRPr="00EE25D1">
        <w:rPr>
          <w:rFonts w:ascii="Calibri" w:hAnsi="Calibri"/>
          <w:sz w:val="24"/>
          <w:szCs w:val="24"/>
        </w:rPr>
        <w:t>, Tirant lo Blanch, Valencia, 2021.</w:t>
      </w:r>
    </w:p>
    <w:p w:rsidR="007E5D8F" w:rsidRPr="00EE25D1" w:rsidRDefault="008B5420" w:rsidP="00D44BF1">
      <w:pPr>
        <w:pStyle w:val="Textonotapie"/>
        <w:spacing w:before="80" w:after="80" w:line="276" w:lineRule="auto"/>
        <w:rPr>
          <w:rFonts w:ascii="Calibri" w:hAnsi="Calibri"/>
          <w:sz w:val="24"/>
          <w:szCs w:val="24"/>
        </w:rPr>
      </w:pPr>
      <w:r w:rsidRPr="00EE25D1">
        <w:rPr>
          <w:rFonts w:ascii="Calibri" w:hAnsi="Calibri"/>
          <w:smallCaps/>
          <w:sz w:val="24"/>
          <w:szCs w:val="24"/>
        </w:rPr>
        <w:t>De Verda y Beamonte</w:t>
      </w:r>
      <w:r w:rsidRPr="00EE25D1">
        <w:rPr>
          <w:rFonts w:ascii="Calibri" w:hAnsi="Calibri"/>
          <w:sz w:val="24"/>
          <w:szCs w:val="24"/>
        </w:rPr>
        <w:t>, José Ramón</w:t>
      </w:r>
      <w:r>
        <w:rPr>
          <w:rFonts w:ascii="Calibri" w:hAnsi="Calibri"/>
          <w:sz w:val="24"/>
          <w:szCs w:val="24"/>
        </w:rPr>
        <w:t>,</w:t>
      </w:r>
      <w:r w:rsidR="007E5D8F" w:rsidRPr="00EE25D1">
        <w:rPr>
          <w:rFonts w:ascii="Calibri" w:hAnsi="Calibri"/>
          <w:sz w:val="24"/>
          <w:szCs w:val="24"/>
        </w:rPr>
        <w:t xml:space="preserve"> «Capacidad para contraer matrimonio de las personas con discapacidad», en AA.VV., </w:t>
      </w:r>
      <w:r w:rsidR="007E5D8F" w:rsidRPr="00EE25D1">
        <w:rPr>
          <w:rFonts w:ascii="Calibri" w:hAnsi="Calibri"/>
          <w:i/>
          <w:sz w:val="24"/>
          <w:szCs w:val="24"/>
        </w:rPr>
        <w:t>Un nuevo orden jurídico para las personas con discapacidad</w:t>
      </w:r>
      <w:r w:rsidR="007E5D8F" w:rsidRPr="00EE25D1">
        <w:rPr>
          <w:rFonts w:ascii="Calibri" w:hAnsi="Calibri"/>
          <w:sz w:val="24"/>
          <w:szCs w:val="24"/>
        </w:rPr>
        <w:t>, Wolters Kluwers, Madrid, 2021.</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«Validez del matrimonio contraído por un contrayente con alzhéimer. Comentario a la STS de España núm. 145/2018, de 15 de marzo (RAJ 2018, 1478)», </w:t>
      </w:r>
      <w:r w:rsidRPr="00EE25D1">
        <w:rPr>
          <w:rFonts w:ascii="Calibri" w:hAnsi="Calibri"/>
          <w:i/>
          <w:sz w:val="24"/>
          <w:szCs w:val="24"/>
        </w:rPr>
        <w:t>Revista Boliviana de Derecho</w:t>
      </w:r>
      <w:r w:rsidRPr="00EE25D1">
        <w:rPr>
          <w:rFonts w:ascii="Calibri" w:hAnsi="Calibri"/>
          <w:sz w:val="24"/>
          <w:szCs w:val="24"/>
        </w:rPr>
        <w:t>, núm. 27 (2019).</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w:t>
      </w:r>
      <w:r w:rsidR="00CA2BA9" w:rsidRPr="00EE25D1">
        <w:rPr>
          <w:rFonts w:ascii="Calibri" w:hAnsi="Calibri"/>
          <w:sz w:val="24"/>
          <w:szCs w:val="24"/>
        </w:rPr>
        <w:t>«</w:t>
      </w:r>
      <w:r w:rsidRPr="00EE25D1">
        <w:rPr>
          <w:rFonts w:ascii="Calibri" w:hAnsi="Calibri"/>
          <w:sz w:val="24"/>
          <w:szCs w:val="24"/>
        </w:rPr>
        <w:t xml:space="preserve">Primeras resoluciones judiciales aplicando la Ley 8/2021, de 2 de junio, en materia de discapacidad», </w:t>
      </w:r>
      <w:r w:rsidRPr="00EE25D1">
        <w:rPr>
          <w:rFonts w:ascii="Calibri" w:hAnsi="Calibri"/>
          <w:i/>
          <w:sz w:val="24"/>
          <w:szCs w:val="24"/>
        </w:rPr>
        <w:t>Diario La Ley</w:t>
      </w:r>
      <w:r w:rsidRPr="00EE25D1">
        <w:rPr>
          <w:rFonts w:ascii="Calibri" w:hAnsi="Calibri"/>
          <w:sz w:val="24"/>
          <w:szCs w:val="24"/>
        </w:rPr>
        <w:t>, núm. 10021 (2022),</w:t>
      </w:r>
    </w:p>
    <w:p w:rsidR="00B96C17" w:rsidRPr="00EE25D1" w:rsidRDefault="00B96C17" w:rsidP="00D44BF1">
      <w:pPr>
        <w:pStyle w:val="Textonotapie"/>
        <w:spacing w:before="80" w:after="80" w:line="276" w:lineRule="auto"/>
        <w:rPr>
          <w:rFonts w:ascii="Calibri" w:hAnsi="Calibri"/>
          <w:sz w:val="24"/>
          <w:szCs w:val="24"/>
        </w:rPr>
      </w:pPr>
      <w:r w:rsidRPr="00EE25D1">
        <w:rPr>
          <w:rFonts w:ascii="Calibri" w:hAnsi="Calibri"/>
          <w:smallCaps/>
          <w:sz w:val="24"/>
          <w:szCs w:val="24"/>
        </w:rPr>
        <w:t>García Rubio</w:t>
      </w:r>
      <w:r w:rsidRPr="00EE25D1">
        <w:rPr>
          <w:rFonts w:ascii="Calibri" w:hAnsi="Calibri"/>
          <w:sz w:val="24"/>
          <w:szCs w:val="24"/>
        </w:rPr>
        <w:t xml:space="preserve">, María Paz, «La reforma operada por la Ley 8/2021 en materia de apoyo a las personas con discapacidad: planteamiento general de sus aspectos civiles», en AA.VV., </w:t>
      </w:r>
      <w:r w:rsidRPr="00EE25D1">
        <w:rPr>
          <w:rFonts w:ascii="Calibri" w:hAnsi="Calibri"/>
          <w:i/>
          <w:sz w:val="24"/>
          <w:szCs w:val="24"/>
        </w:rPr>
        <w:t>El nuevo Derecho de las capacidades</w:t>
      </w:r>
      <w:r w:rsidRPr="00EE25D1">
        <w:rPr>
          <w:rFonts w:ascii="Calibri" w:hAnsi="Calibri"/>
          <w:sz w:val="24"/>
          <w:szCs w:val="24"/>
        </w:rPr>
        <w:t>, Wolters Kluwers, Madrid, 2021.</w:t>
      </w:r>
    </w:p>
    <w:p w:rsidR="003B446E" w:rsidRPr="00EE25D1" w:rsidRDefault="003B446E"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«Artículo 250», en AA.VV., </w:t>
      </w:r>
      <w:r w:rsidRPr="00EE25D1">
        <w:rPr>
          <w:rFonts w:ascii="Calibri" w:hAnsi="Calibri"/>
          <w:i/>
          <w:sz w:val="24"/>
          <w:szCs w:val="24"/>
        </w:rPr>
        <w:t xml:space="preserve">Comentario articulado a la reforma civil y procesal en materia de discapacidad, </w:t>
      </w:r>
      <w:r w:rsidRPr="00EE25D1">
        <w:rPr>
          <w:rFonts w:ascii="Calibri" w:hAnsi="Calibri"/>
          <w:sz w:val="24"/>
          <w:szCs w:val="24"/>
        </w:rPr>
        <w:t>Civitas, Pamplona, 2022.</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Gómez Valenzuela</w:t>
      </w:r>
      <w:r w:rsidRPr="00EE25D1">
        <w:rPr>
          <w:rFonts w:ascii="Calibri" w:hAnsi="Calibri"/>
          <w:sz w:val="24"/>
          <w:szCs w:val="24"/>
        </w:rPr>
        <w:t xml:space="preserve">, Manuel Ángel, «Problemática de testar mediante medios digitales en tiempos de epidemia: análisis, de lege lata y de lege ferenda, de la modernización de las formas testamentarias», en AA.VV., </w:t>
      </w:r>
      <w:r w:rsidRPr="00EE25D1">
        <w:rPr>
          <w:rFonts w:ascii="Calibri" w:hAnsi="Calibri"/>
          <w:i/>
          <w:sz w:val="24"/>
          <w:szCs w:val="24"/>
        </w:rPr>
        <w:t>Declaración de voluntad en un entorno virtual</w:t>
      </w:r>
      <w:r w:rsidRPr="00EE25D1">
        <w:rPr>
          <w:rFonts w:ascii="Calibri" w:hAnsi="Calibri"/>
          <w:sz w:val="24"/>
          <w:szCs w:val="24"/>
        </w:rPr>
        <w:t>, Aranzadi, Pamplona, 2021.</w:t>
      </w:r>
    </w:p>
    <w:p w:rsidR="00B96C17" w:rsidRPr="00EE25D1" w:rsidRDefault="00B96C17"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Guilarte Martín-Calero</w:t>
      </w:r>
      <w:r w:rsidRPr="00EE25D1">
        <w:rPr>
          <w:rFonts w:ascii="Calibri" w:hAnsi="Calibri"/>
          <w:sz w:val="24"/>
          <w:szCs w:val="24"/>
        </w:rPr>
        <w:t xml:space="preserve">, Cristina, «Matrimonio y discapacidad», </w:t>
      </w:r>
      <w:r w:rsidRPr="00EE25D1">
        <w:rPr>
          <w:rFonts w:ascii="Calibri" w:hAnsi="Calibri"/>
          <w:i/>
          <w:sz w:val="24"/>
          <w:szCs w:val="24"/>
        </w:rPr>
        <w:t>Derecho Privado y Constitución</w:t>
      </w:r>
      <w:r w:rsidRPr="00EE25D1">
        <w:rPr>
          <w:rFonts w:ascii="Calibri" w:hAnsi="Calibri"/>
          <w:sz w:val="24"/>
          <w:szCs w:val="24"/>
        </w:rPr>
        <w:t>, núm. 32 (2018).</w:t>
      </w:r>
      <w:r w:rsidR="00400D85" w:rsidRPr="00EE25D1">
        <w:rPr>
          <w:rFonts w:ascii="Calibri" w:hAnsi="Calibri"/>
          <w:smallCaps/>
          <w:sz w:val="24"/>
          <w:szCs w:val="24"/>
        </w:rPr>
        <w:t xml:space="preserve"> </w:t>
      </w:r>
    </w:p>
    <w:p w:rsidR="007E5D8F" w:rsidRPr="00EE25D1" w:rsidRDefault="007E5D8F"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Heras Fernández</w:t>
      </w:r>
      <w:r w:rsidRPr="00EE25D1">
        <w:rPr>
          <w:rFonts w:ascii="Calibri" w:hAnsi="Calibri"/>
          <w:sz w:val="24"/>
          <w:szCs w:val="24"/>
        </w:rPr>
        <w:t xml:space="preserve">, María del Mar, «Igualdad jurídica, matrimonio y discapacidad: apoyos y salvaguardias proyectadas», en AA.VV., </w:t>
      </w:r>
      <w:r w:rsidRPr="00EE25D1">
        <w:rPr>
          <w:rFonts w:ascii="Calibri" w:hAnsi="Calibri"/>
          <w:i/>
          <w:sz w:val="24"/>
          <w:szCs w:val="24"/>
        </w:rPr>
        <w:t>La voluntad de la personas protegida. Oportunidades, riesgos y salvaguardias</w:t>
      </w:r>
      <w:r w:rsidRPr="00EE25D1">
        <w:rPr>
          <w:rFonts w:ascii="Calibri" w:hAnsi="Calibri"/>
          <w:sz w:val="24"/>
          <w:szCs w:val="24"/>
        </w:rPr>
        <w:t>, Dykinson, Madrid, 2018.</w:t>
      </w:r>
    </w:p>
    <w:p w:rsidR="007E5D8F" w:rsidRPr="00EE25D1" w:rsidRDefault="007E5D8F"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Lasarte Álvarez</w:t>
      </w:r>
      <w:r w:rsidRPr="00EE25D1">
        <w:rPr>
          <w:rFonts w:ascii="Calibri" w:hAnsi="Calibri"/>
          <w:sz w:val="24"/>
          <w:szCs w:val="24"/>
        </w:rPr>
        <w:t xml:space="preserve">, Carlos, </w:t>
      </w:r>
      <w:r w:rsidRPr="00EE25D1">
        <w:rPr>
          <w:rFonts w:ascii="Calibri" w:hAnsi="Calibri"/>
          <w:i/>
          <w:sz w:val="24"/>
          <w:szCs w:val="24"/>
        </w:rPr>
        <w:t>Derecho de Familia, Principios de Derecho Civil, t. VI</w:t>
      </w:r>
      <w:r w:rsidRPr="00EE25D1">
        <w:rPr>
          <w:rFonts w:ascii="Calibri" w:hAnsi="Calibri"/>
          <w:sz w:val="24"/>
          <w:szCs w:val="24"/>
        </w:rPr>
        <w:t>, Marcial Pons, Madrid-Barcelona-Buenos Aires, Sao Paulo, 2021.</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mallCaps/>
          <w:sz w:val="24"/>
          <w:szCs w:val="24"/>
        </w:rPr>
        <w:t>Lacruz Berdejo</w:t>
      </w:r>
      <w:r w:rsidR="00CA2BA9">
        <w:rPr>
          <w:rFonts w:ascii="Calibri" w:hAnsi="Calibri"/>
          <w:sz w:val="24"/>
          <w:szCs w:val="24"/>
        </w:rPr>
        <w:t>, José</w:t>
      </w:r>
      <w:r w:rsidRPr="00EE25D1">
        <w:rPr>
          <w:rFonts w:ascii="Calibri" w:hAnsi="Calibri"/>
          <w:sz w:val="24"/>
          <w:szCs w:val="24"/>
        </w:rPr>
        <w:t xml:space="preserve"> Luis, </w:t>
      </w:r>
      <w:r w:rsidRPr="00EE25D1">
        <w:rPr>
          <w:rFonts w:ascii="Calibri" w:hAnsi="Calibri"/>
          <w:i/>
          <w:sz w:val="24"/>
          <w:szCs w:val="24"/>
        </w:rPr>
        <w:t>Derecho de Familia. El matrimonio y su economía</w:t>
      </w:r>
      <w:r w:rsidRPr="00EE25D1">
        <w:rPr>
          <w:rFonts w:ascii="Calibri" w:hAnsi="Calibri"/>
          <w:sz w:val="24"/>
          <w:szCs w:val="24"/>
        </w:rPr>
        <w:t>, Bosch, Barcelona, 1963.</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Lete del Rio</w:t>
      </w:r>
      <w:r w:rsidRPr="00EE25D1">
        <w:rPr>
          <w:rFonts w:ascii="Calibri" w:hAnsi="Calibri"/>
          <w:sz w:val="24"/>
          <w:szCs w:val="24"/>
        </w:rPr>
        <w:t xml:space="preserve">, José Manuel, «Sujetos de las capitulaciones matrimoniales», </w:t>
      </w:r>
      <w:r w:rsidRPr="00EE25D1">
        <w:rPr>
          <w:rFonts w:ascii="Calibri" w:hAnsi="Calibri"/>
          <w:i/>
          <w:sz w:val="24"/>
          <w:szCs w:val="24"/>
        </w:rPr>
        <w:t>Anuario de Derecho Civil</w:t>
      </w:r>
      <w:r w:rsidRPr="00EE25D1">
        <w:rPr>
          <w:rFonts w:ascii="Calibri" w:hAnsi="Calibri"/>
          <w:sz w:val="24"/>
          <w:szCs w:val="24"/>
        </w:rPr>
        <w:t>, t. XXXVI (1983).</w:t>
      </w:r>
    </w:p>
    <w:p w:rsidR="00B96C17" w:rsidRPr="00EE25D1" w:rsidRDefault="00B96C17" w:rsidP="00D44BF1">
      <w:pPr>
        <w:pStyle w:val="Textonotapie"/>
        <w:spacing w:before="80" w:after="80" w:line="276" w:lineRule="auto"/>
        <w:rPr>
          <w:rFonts w:ascii="Calibri" w:hAnsi="Calibri"/>
          <w:sz w:val="24"/>
          <w:szCs w:val="24"/>
        </w:rPr>
      </w:pPr>
      <w:r w:rsidRPr="00EE25D1">
        <w:rPr>
          <w:rFonts w:ascii="Calibri" w:hAnsi="Calibri"/>
          <w:smallCaps/>
          <w:sz w:val="24"/>
          <w:szCs w:val="24"/>
        </w:rPr>
        <w:t>Leciñena Ibarra</w:t>
      </w:r>
      <w:r w:rsidRPr="00EE25D1">
        <w:rPr>
          <w:rFonts w:ascii="Calibri" w:hAnsi="Calibri"/>
          <w:sz w:val="24"/>
          <w:szCs w:val="24"/>
        </w:rPr>
        <w:t xml:space="preserve">, Ascensión, «Reflexiones sobre la formación de la voluntad negocial en personas que precisan apoyos en el ejercicio de su capacidad jurídica», </w:t>
      </w:r>
      <w:r w:rsidRPr="00EE25D1">
        <w:rPr>
          <w:rFonts w:ascii="Calibri" w:hAnsi="Calibri"/>
          <w:i/>
          <w:sz w:val="24"/>
          <w:szCs w:val="24"/>
        </w:rPr>
        <w:t>Revista de Derecho Civil</w:t>
      </w:r>
      <w:r w:rsidRPr="00EE25D1">
        <w:rPr>
          <w:rFonts w:ascii="Calibri" w:hAnsi="Calibri"/>
          <w:sz w:val="24"/>
          <w:szCs w:val="24"/>
        </w:rPr>
        <w:t>, vol. IX, núm. 1 (2022).</w:t>
      </w:r>
    </w:p>
    <w:p w:rsidR="00A66E2B" w:rsidRPr="00EE25D1" w:rsidRDefault="00A66E2B"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Martínez de Aguirre Aldaz</w:t>
      </w:r>
      <w:r w:rsidRPr="00EE25D1">
        <w:rPr>
          <w:rFonts w:ascii="Calibri" w:hAnsi="Calibri"/>
          <w:sz w:val="24"/>
          <w:szCs w:val="24"/>
        </w:rPr>
        <w:t xml:space="preserve">, Carlos, «Curatela y representación: cinco tesis heterodoxas y un estrambote», en AA.VV., </w:t>
      </w:r>
      <w:r w:rsidRPr="00EE25D1">
        <w:rPr>
          <w:rFonts w:ascii="Calibri" w:hAnsi="Calibri"/>
          <w:i/>
          <w:sz w:val="24"/>
          <w:szCs w:val="24"/>
        </w:rPr>
        <w:t>Claves para la adaptación del ordenamiento jurídico privado a la Convención de Naciones Unidas en materia de discapacidad</w:t>
      </w:r>
      <w:r w:rsidRPr="00EE25D1">
        <w:rPr>
          <w:rFonts w:ascii="Calibri" w:hAnsi="Calibri"/>
          <w:sz w:val="24"/>
          <w:szCs w:val="24"/>
        </w:rPr>
        <w:t>, Tirant lo Blanch, Valencia, 2019.</w:t>
      </w:r>
    </w:p>
    <w:p w:rsidR="00B96C17" w:rsidRPr="00EE25D1" w:rsidRDefault="00B96C17"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Martínez Rodríguez</w:t>
      </w:r>
      <w:r w:rsidRPr="00EE25D1">
        <w:rPr>
          <w:rFonts w:ascii="Calibri" w:hAnsi="Calibri"/>
          <w:sz w:val="24"/>
          <w:szCs w:val="24"/>
        </w:rPr>
        <w:t xml:space="preserve">, Nieves, «Discapacidad y Derecho de Familia. Nuevos principios, nuevas normas», en AA.VV., </w:t>
      </w:r>
      <w:r w:rsidRPr="00EE25D1">
        <w:rPr>
          <w:rFonts w:ascii="Calibri" w:hAnsi="Calibri"/>
          <w:i/>
          <w:sz w:val="24"/>
          <w:szCs w:val="24"/>
        </w:rPr>
        <w:t>El nuevo Derecho de las capacidades</w:t>
      </w:r>
      <w:r w:rsidRPr="00EE25D1">
        <w:rPr>
          <w:rFonts w:ascii="Calibri" w:hAnsi="Calibri"/>
          <w:sz w:val="24"/>
          <w:szCs w:val="24"/>
        </w:rPr>
        <w:t>, Wolters Kluwers, Madrid, 2021.</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mallCaps/>
          <w:sz w:val="24"/>
          <w:szCs w:val="24"/>
        </w:rPr>
        <w:t>Martín Salamanca</w:t>
      </w:r>
      <w:r w:rsidRPr="00EE25D1">
        <w:rPr>
          <w:rFonts w:ascii="Calibri" w:hAnsi="Calibri"/>
          <w:sz w:val="24"/>
          <w:szCs w:val="24"/>
        </w:rPr>
        <w:t xml:space="preserve">, Sara, «El matrimonio (I)», en AA.VV., </w:t>
      </w:r>
      <w:r w:rsidRPr="00EE25D1">
        <w:rPr>
          <w:rFonts w:ascii="Calibri" w:hAnsi="Calibri"/>
          <w:i/>
          <w:sz w:val="24"/>
          <w:szCs w:val="24"/>
        </w:rPr>
        <w:t>Manual de Derecho Civil. vol. V. Derecho de familia</w:t>
      </w:r>
      <w:r w:rsidRPr="00EE25D1">
        <w:rPr>
          <w:rFonts w:ascii="Calibri" w:hAnsi="Calibri"/>
          <w:sz w:val="24"/>
          <w:szCs w:val="24"/>
        </w:rPr>
        <w:t xml:space="preserve">, Wolters Kluwers, Madrid, 2021. </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 xml:space="preserve">Nieto Alonso, </w:t>
      </w:r>
      <w:r w:rsidRPr="00CA2BA9">
        <w:rPr>
          <w:rFonts w:ascii="Calibri" w:hAnsi="Calibri"/>
          <w:sz w:val="24"/>
          <w:szCs w:val="24"/>
        </w:rPr>
        <w:t>Antonia</w:t>
      </w:r>
      <w:r w:rsidRPr="00EE25D1">
        <w:rPr>
          <w:rFonts w:ascii="Calibri" w:hAnsi="Calibri"/>
          <w:sz w:val="24"/>
          <w:szCs w:val="24"/>
        </w:rPr>
        <w:t xml:space="preserve">, «Artículo 1330», en AA.VV., </w:t>
      </w:r>
      <w:r w:rsidRPr="00EE25D1">
        <w:rPr>
          <w:rFonts w:ascii="Calibri" w:hAnsi="Calibri"/>
          <w:i/>
          <w:sz w:val="24"/>
          <w:szCs w:val="24"/>
        </w:rPr>
        <w:t xml:space="preserve">Comentario articulado a la reforma civil y procesal en materia de discapacidad, </w:t>
      </w:r>
      <w:r w:rsidRPr="00EE25D1">
        <w:rPr>
          <w:rFonts w:ascii="Calibri" w:hAnsi="Calibri"/>
          <w:sz w:val="24"/>
          <w:szCs w:val="24"/>
        </w:rPr>
        <w:t>Civitas, Pamplona, 2022.</w:t>
      </w:r>
    </w:p>
    <w:p w:rsidR="00B97001" w:rsidRPr="00EE25D1" w:rsidRDefault="00B97001"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«Artículo 263», en AA.VV., </w:t>
      </w:r>
      <w:r w:rsidRPr="00EE25D1">
        <w:rPr>
          <w:rFonts w:ascii="Calibri" w:hAnsi="Calibri"/>
          <w:i/>
          <w:sz w:val="24"/>
          <w:szCs w:val="24"/>
        </w:rPr>
        <w:t xml:space="preserve">Comentario articulado a la reforma civil y procesal en materia de discapacidad, </w:t>
      </w:r>
      <w:r w:rsidRPr="00EE25D1">
        <w:rPr>
          <w:rFonts w:ascii="Calibri" w:hAnsi="Calibri"/>
          <w:sz w:val="24"/>
          <w:szCs w:val="24"/>
        </w:rPr>
        <w:t>Civitas, Pamplona, 2022.</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mallCaps/>
          <w:sz w:val="24"/>
          <w:szCs w:val="24"/>
        </w:rPr>
        <w:t>O´Callaghan Muñoz</w:t>
      </w:r>
      <w:r w:rsidRPr="00EE25D1">
        <w:rPr>
          <w:rFonts w:ascii="Calibri" w:hAnsi="Calibri"/>
          <w:sz w:val="24"/>
          <w:szCs w:val="24"/>
        </w:rPr>
        <w:t xml:space="preserve">, Xavier, </w:t>
      </w:r>
      <w:r w:rsidRPr="00EE25D1">
        <w:rPr>
          <w:rFonts w:ascii="Calibri" w:hAnsi="Calibri"/>
          <w:i/>
          <w:sz w:val="24"/>
          <w:szCs w:val="24"/>
        </w:rPr>
        <w:t xml:space="preserve">Compendio de Derecho Civil, t. IV, Derecho de la familia, </w:t>
      </w:r>
      <w:r w:rsidRPr="00EE25D1">
        <w:rPr>
          <w:rFonts w:ascii="Calibri" w:hAnsi="Calibri"/>
          <w:sz w:val="24"/>
          <w:szCs w:val="24"/>
        </w:rPr>
        <w:t>Ed. Universitaria Ramón Areces, Madrid, 2022.</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z w:val="24"/>
          <w:szCs w:val="24"/>
        </w:rPr>
        <w:t>-</w:t>
      </w:r>
      <w:r w:rsidRPr="00EE25D1">
        <w:rPr>
          <w:rFonts w:ascii="Calibri" w:hAnsi="Calibri"/>
          <w:i/>
          <w:sz w:val="24"/>
          <w:szCs w:val="24"/>
        </w:rPr>
        <w:t xml:space="preserve"> Compendio de Derecho Civil, t. I, Introducción y parte general del Derecho civil, Derecho de la persona, </w:t>
      </w:r>
      <w:r w:rsidRPr="00EE25D1">
        <w:rPr>
          <w:rFonts w:ascii="Calibri" w:hAnsi="Calibri"/>
          <w:sz w:val="24"/>
          <w:szCs w:val="24"/>
        </w:rPr>
        <w:t>2022, Ed. Universitaria Ramón Areces, Madrid, 2022.</w:t>
      </w:r>
    </w:p>
    <w:p w:rsidR="00400D85" w:rsidRPr="00EE25D1" w:rsidRDefault="00400D85" w:rsidP="00D44BF1">
      <w:pPr>
        <w:pStyle w:val="Textonotapie"/>
        <w:spacing w:before="80" w:after="80" w:line="276" w:lineRule="auto"/>
        <w:rPr>
          <w:rFonts w:ascii="Calibri" w:hAnsi="Calibri"/>
          <w:sz w:val="24"/>
          <w:szCs w:val="24"/>
        </w:rPr>
      </w:pPr>
      <w:r w:rsidRPr="00EE25D1">
        <w:rPr>
          <w:rFonts w:ascii="Calibri" w:hAnsi="Calibri"/>
          <w:smallCaps/>
          <w:sz w:val="24"/>
          <w:szCs w:val="24"/>
        </w:rPr>
        <w:t>Pau</w:t>
      </w:r>
      <w:r w:rsidRPr="00EE25D1">
        <w:rPr>
          <w:rFonts w:ascii="Calibri" w:hAnsi="Calibri"/>
          <w:sz w:val="24"/>
          <w:szCs w:val="24"/>
        </w:rPr>
        <w:t xml:space="preserve">, Antonio, «De la incapacitación al apoyo: el nuevo régimen de la discapacidad intelectual en el Código Civil», </w:t>
      </w:r>
      <w:r w:rsidRPr="00EE25D1">
        <w:rPr>
          <w:rFonts w:ascii="Calibri" w:hAnsi="Calibri"/>
          <w:i/>
          <w:sz w:val="24"/>
          <w:szCs w:val="24"/>
        </w:rPr>
        <w:t>Revista de Derecho Civil</w:t>
      </w:r>
      <w:r w:rsidRPr="00EE25D1">
        <w:rPr>
          <w:rFonts w:ascii="Calibri" w:hAnsi="Calibri"/>
          <w:sz w:val="24"/>
          <w:szCs w:val="24"/>
        </w:rPr>
        <w:t>, vol. V, núm. 3 (2018).</w:t>
      </w:r>
    </w:p>
    <w:p w:rsidR="00B97001" w:rsidRPr="00EE25D1" w:rsidRDefault="00B97001"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Prados García</w:t>
      </w:r>
      <w:r w:rsidRPr="00EE25D1">
        <w:rPr>
          <w:rFonts w:ascii="Calibri" w:hAnsi="Calibri"/>
          <w:sz w:val="24"/>
          <w:szCs w:val="24"/>
        </w:rPr>
        <w:t xml:space="preserve">, Celia, «Negativa de un banco a reconocer la condición de guardador de hecho. Comentario al Auto 8/2022 del Juzgado n. º 3 de Córdoba, de 11 de enero de 2022», </w:t>
      </w:r>
      <w:r w:rsidRPr="00EE25D1">
        <w:rPr>
          <w:rFonts w:ascii="Calibri" w:hAnsi="Calibri"/>
          <w:i/>
          <w:sz w:val="24"/>
          <w:szCs w:val="24"/>
        </w:rPr>
        <w:t>Diario la Ley</w:t>
      </w:r>
      <w:r w:rsidRPr="00EE25D1">
        <w:rPr>
          <w:rFonts w:ascii="Calibri" w:hAnsi="Calibri"/>
          <w:sz w:val="24"/>
          <w:szCs w:val="24"/>
        </w:rPr>
        <w:t>, núm. 1008 (2022).</w:t>
      </w:r>
    </w:p>
    <w:p w:rsidR="00B96C17" w:rsidRPr="00EE25D1" w:rsidRDefault="00B96C17"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Pérez Gallardo</w:t>
      </w:r>
      <w:r w:rsidRPr="00EE25D1">
        <w:rPr>
          <w:rFonts w:ascii="Calibri" w:hAnsi="Calibri"/>
          <w:sz w:val="24"/>
          <w:szCs w:val="24"/>
        </w:rPr>
        <w:t xml:space="preserve">, Leonardo Bernardino, «El testamento otorgado con apoyos por persona con discapacidad ¿una quimera?», </w:t>
      </w:r>
      <w:r w:rsidRPr="00EE25D1">
        <w:rPr>
          <w:rFonts w:ascii="Calibri" w:hAnsi="Calibri"/>
          <w:i/>
          <w:sz w:val="24"/>
          <w:szCs w:val="24"/>
        </w:rPr>
        <w:t>Revista Crítica de Derecho Inmobiliario</w:t>
      </w:r>
      <w:r w:rsidRPr="00EE25D1">
        <w:rPr>
          <w:rFonts w:ascii="Calibri" w:hAnsi="Calibri"/>
          <w:sz w:val="24"/>
          <w:szCs w:val="24"/>
        </w:rPr>
        <w:t>, núm. 782 (2020).</w:t>
      </w:r>
    </w:p>
    <w:p w:rsidR="007E5D8F" w:rsidRPr="00EE25D1" w:rsidRDefault="007E5D8F" w:rsidP="00D44BF1">
      <w:pPr>
        <w:pStyle w:val="Textonotapie"/>
        <w:spacing w:before="80" w:after="80" w:line="276" w:lineRule="auto"/>
        <w:rPr>
          <w:rFonts w:ascii="Calibri" w:hAnsi="Calibri"/>
          <w:sz w:val="24"/>
          <w:szCs w:val="24"/>
        </w:rPr>
      </w:pPr>
      <w:r w:rsidRPr="00EE25D1">
        <w:rPr>
          <w:rFonts w:ascii="Calibri" w:hAnsi="Calibri"/>
          <w:smallCaps/>
          <w:sz w:val="24"/>
          <w:szCs w:val="24"/>
        </w:rPr>
        <w:t>Pereña Vicente</w:t>
      </w:r>
      <w:r w:rsidRPr="00EE25D1">
        <w:rPr>
          <w:rFonts w:ascii="Calibri" w:hAnsi="Calibri"/>
          <w:sz w:val="24"/>
          <w:szCs w:val="24"/>
        </w:rPr>
        <w:t xml:space="preserve">, Montserrat, «El régimen jurídico de los poderes preventivos en la reforma del Código Civil», en AA.VV., </w:t>
      </w:r>
      <w:r w:rsidRPr="00EE25D1">
        <w:rPr>
          <w:rFonts w:ascii="Calibri" w:hAnsi="Calibri"/>
          <w:i/>
          <w:sz w:val="24"/>
          <w:szCs w:val="24"/>
        </w:rPr>
        <w:t>Principios y preceptos de la reforma legal de la discapacidad. El Derecho en el umbral de la política</w:t>
      </w:r>
      <w:r w:rsidRPr="00EE25D1">
        <w:rPr>
          <w:rFonts w:ascii="Calibri" w:hAnsi="Calibri"/>
          <w:sz w:val="24"/>
          <w:szCs w:val="24"/>
        </w:rPr>
        <w:t>, Marcial Pons, Madrid, 2021.</w:t>
      </w:r>
    </w:p>
    <w:p w:rsidR="00400D85" w:rsidRPr="00EE25D1" w:rsidRDefault="00B97001"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w:t>
      </w:r>
      <w:r w:rsidR="006F0418" w:rsidRPr="00EE25D1">
        <w:rPr>
          <w:rFonts w:ascii="Calibri" w:hAnsi="Calibri"/>
          <w:sz w:val="24"/>
          <w:szCs w:val="24"/>
        </w:rPr>
        <w:t xml:space="preserve"> «</w:t>
      </w:r>
      <w:r w:rsidR="00400D85" w:rsidRPr="00EE25D1">
        <w:rPr>
          <w:rFonts w:ascii="Calibri" w:hAnsi="Calibri"/>
          <w:sz w:val="24"/>
          <w:szCs w:val="24"/>
        </w:rPr>
        <w:t xml:space="preserve">Una contribución a la interpretación del régimen jurídico de las medidas de apoyo en el ejercicio de la capacidad jurídica consagrada en la Ley </w:t>
      </w:r>
      <w:r w:rsidR="006F0418" w:rsidRPr="00EE25D1">
        <w:rPr>
          <w:rFonts w:ascii="Calibri" w:hAnsi="Calibri"/>
          <w:sz w:val="24"/>
          <w:szCs w:val="24"/>
        </w:rPr>
        <w:t>8/2021, de 2 de junio»</w:t>
      </w:r>
      <w:r w:rsidR="00400D85" w:rsidRPr="00EE25D1">
        <w:rPr>
          <w:rFonts w:ascii="Calibri" w:hAnsi="Calibri"/>
          <w:sz w:val="24"/>
          <w:szCs w:val="24"/>
        </w:rPr>
        <w:t>,</w:t>
      </w:r>
      <w:r w:rsidRPr="00EE25D1">
        <w:rPr>
          <w:rFonts w:ascii="Calibri" w:hAnsi="Calibri"/>
          <w:sz w:val="24"/>
          <w:szCs w:val="24"/>
        </w:rPr>
        <w:t xml:space="preserve"> en AA.VV., </w:t>
      </w:r>
      <w:r w:rsidRPr="00EE25D1">
        <w:rPr>
          <w:rFonts w:ascii="Calibri" w:hAnsi="Calibri"/>
          <w:i/>
          <w:sz w:val="24"/>
          <w:szCs w:val="24"/>
        </w:rPr>
        <w:t>El ejercicio de la capacidad jurídica por las personas con discapacidad tras la Ley 8/2021, de 2 de junio</w:t>
      </w:r>
      <w:r w:rsidRPr="00EE25D1">
        <w:rPr>
          <w:rFonts w:ascii="Calibri" w:hAnsi="Calibri"/>
          <w:sz w:val="24"/>
          <w:szCs w:val="24"/>
        </w:rPr>
        <w:t>, Tirant lo Blanch, Valencia, 2022.</w:t>
      </w:r>
    </w:p>
    <w:p w:rsidR="00400D85" w:rsidRPr="00EE25D1" w:rsidRDefault="00400D85"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Ribot Igualada</w:t>
      </w:r>
      <w:r w:rsidRPr="00EE25D1">
        <w:rPr>
          <w:rFonts w:ascii="Calibri" w:hAnsi="Calibri"/>
          <w:sz w:val="24"/>
          <w:szCs w:val="24"/>
        </w:rPr>
        <w:t xml:space="preserve">, Jordi, «La nueva curatela», en AA.VV., </w:t>
      </w:r>
      <w:r w:rsidRPr="00EE25D1">
        <w:rPr>
          <w:rFonts w:ascii="Calibri" w:hAnsi="Calibri"/>
          <w:i/>
          <w:sz w:val="24"/>
          <w:szCs w:val="24"/>
        </w:rPr>
        <w:t>Claves para la adaptación del ordenamiento jurídico privado a la Convención de Naciones Unidas en materia de discapacidad</w:t>
      </w:r>
      <w:r w:rsidRPr="00EE25D1">
        <w:rPr>
          <w:rFonts w:ascii="Calibri" w:hAnsi="Calibri"/>
          <w:sz w:val="24"/>
          <w:szCs w:val="24"/>
        </w:rPr>
        <w:t>, Tirant lo Blanch, Valencia, 2019.</w:t>
      </w:r>
    </w:p>
    <w:p w:rsidR="00A66E2B" w:rsidRPr="00EE25D1" w:rsidRDefault="00A66E2B" w:rsidP="00D44BF1">
      <w:pPr>
        <w:pStyle w:val="Textonotapie"/>
        <w:spacing w:before="80" w:after="80" w:line="276" w:lineRule="auto"/>
        <w:rPr>
          <w:rFonts w:ascii="Calibri" w:hAnsi="Calibri"/>
          <w:sz w:val="24"/>
          <w:szCs w:val="24"/>
        </w:rPr>
      </w:pPr>
      <w:r w:rsidRPr="00EE25D1">
        <w:rPr>
          <w:rFonts w:ascii="Calibri" w:hAnsi="Calibri"/>
          <w:smallCaps/>
          <w:sz w:val="24"/>
          <w:szCs w:val="24"/>
        </w:rPr>
        <w:t>Serrano Chamorro</w:t>
      </w:r>
      <w:r w:rsidRPr="00EE25D1">
        <w:rPr>
          <w:rFonts w:ascii="Calibri" w:hAnsi="Calibri"/>
          <w:sz w:val="24"/>
          <w:szCs w:val="24"/>
        </w:rPr>
        <w:t xml:space="preserve">, María Eugenia, «Consideraciones sobre la capacidad jurídica versus capacidad de ejercicio tras los nuevos cambios legislativos: criterios jurisprudenciales», </w:t>
      </w:r>
      <w:r w:rsidRPr="00EE25D1">
        <w:rPr>
          <w:rFonts w:ascii="Calibri" w:hAnsi="Calibri"/>
          <w:i/>
          <w:sz w:val="24"/>
          <w:szCs w:val="24"/>
        </w:rPr>
        <w:t>Actualidad Civil</w:t>
      </w:r>
      <w:r w:rsidRPr="00EE25D1">
        <w:rPr>
          <w:rFonts w:ascii="Calibri" w:hAnsi="Calibri"/>
          <w:sz w:val="24"/>
          <w:szCs w:val="24"/>
        </w:rPr>
        <w:t>, núm. 2 (2022).</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Sánchez Gómez</w:t>
      </w:r>
      <w:r w:rsidRPr="00EE25D1">
        <w:rPr>
          <w:rFonts w:ascii="Calibri" w:hAnsi="Calibri"/>
          <w:sz w:val="24"/>
          <w:szCs w:val="24"/>
        </w:rPr>
        <w:t xml:space="preserve">, Amelia, «El matrimonio de las personas con discapacidad: reflexiones críticas sobre las últimas reformas del art. 56.2º. del Código Civil », </w:t>
      </w:r>
      <w:r w:rsidRPr="00EE25D1">
        <w:rPr>
          <w:rFonts w:ascii="Calibri" w:hAnsi="Calibri"/>
          <w:i/>
          <w:sz w:val="24"/>
          <w:szCs w:val="24"/>
        </w:rPr>
        <w:t>Revista de Derecho Privado</w:t>
      </w:r>
      <w:r w:rsidRPr="00EE25D1">
        <w:rPr>
          <w:rFonts w:ascii="Calibri" w:hAnsi="Calibri"/>
          <w:sz w:val="24"/>
          <w:szCs w:val="24"/>
        </w:rPr>
        <w:t>, núm. 1 (2020).</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«Capacidad capitular de las personas con discapacidad psíquica o intelectual», </w:t>
      </w:r>
      <w:r w:rsidRPr="00EE25D1">
        <w:rPr>
          <w:rFonts w:ascii="Calibri" w:hAnsi="Calibri"/>
          <w:i/>
          <w:sz w:val="24"/>
          <w:szCs w:val="24"/>
        </w:rPr>
        <w:t>Revista de Derecho Privado</w:t>
      </w:r>
      <w:r w:rsidRPr="00EE25D1">
        <w:rPr>
          <w:rFonts w:ascii="Calibri" w:hAnsi="Calibri"/>
          <w:sz w:val="24"/>
          <w:szCs w:val="24"/>
        </w:rPr>
        <w:t>, núm. 6 (2020).</w:t>
      </w:r>
    </w:p>
    <w:p w:rsidR="00400D85" w:rsidRPr="00EE25D1" w:rsidRDefault="00400D85" w:rsidP="00D44BF1">
      <w:pPr>
        <w:pStyle w:val="Textonotapie"/>
        <w:spacing w:before="80" w:after="80" w:line="276" w:lineRule="auto"/>
        <w:rPr>
          <w:rFonts w:ascii="Calibri" w:hAnsi="Calibri"/>
          <w:sz w:val="24"/>
          <w:szCs w:val="24"/>
        </w:rPr>
      </w:pPr>
      <w:r w:rsidRPr="00EE25D1">
        <w:rPr>
          <w:rFonts w:ascii="Calibri" w:hAnsi="Calibri"/>
          <w:sz w:val="24"/>
          <w:szCs w:val="24"/>
        </w:rPr>
        <w:t xml:space="preserve">- «Reflexiones a propósito del Proyecto de Ley de 17 de julio de 2020 por la que se reforma la legislación civil y procesal para el apoyo a las personas con discapacidad en el ejercicio de su capacidad jurídica», </w:t>
      </w:r>
      <w:r w:rsidRPr="00EE25D1">
        <w:rPr>
          <w:rFonts w:ascii="Calibri" w:hAnsi="Calibri"/>
          <w:i/>
          <w:sz w:val="24"/>
          <w:szCs w:val="24"/>
        </w:rPr>
        <w:t>Revista de Derecho Civil</w:t>
      </w:r>
      <w:r w:rsidRPr="00EE25D1">
        <w:rPr>
          <w:rFonts w:ascii="Calibri" w:hAnsi="Calibri"/>
          <w:sz w:val="24"/>
          <w:szCs w:val="24"/>
        </w:rPr>
        <w:t>, vol. VII, núm. 5 (2020),</w:t>
      </w:r>
    </w:p>
    <w:p w:rsidR="00400D85" w:rsidRPr="00EE25D1" w:rsidRDefault="00400D85" w:rsidP="00D44BF1">
      <w:pPr>
        <w:pStyle w:val="Textonotapie"/>
        <w:spacing w:before="80" w:after="80" w:line="276" w:lineRule="auto"/>
        <w:rPr>
          <w:rFonts w:ascii="Calibri" w:hAnsi="Calibri"/>
          <w:smallCaps/>
          <w:sz w:val="24"/>
          <w:szCs w:val="24"/>
        </w:rPr>
      </w:pPr>
      <w:r w:rsidRPr="00EE25D1">
        <w:rPr>
          <w:rFonts w:ascii="Calibri" w:hAnsi="Calibri"/>
          <w:smallCaps/>
          <w:sz w:val="24"/>
          <w:szCs w:val="24"/>
        </w:rPr>
        <w:t>Sánchez Hernández</w:t>
      </w:r>
      <w:r w:rsidRPr="00EE25D1">
        <w:rPr>
          <w:rFonts w:ascii="Calibri" w:hAnsi="Calibri"/>
          <w:sz w:val="24"/>
          <w:szCs w:val="24"/>
        </w:rPr>
        <w:t xml:space="preserve">, Ángel, «Aspectos generales de la reforma del Código Civil relativa a las personas con discapacidad intelectual en el ejercicio de su capacidad jurídica», </w:t>
      </w:r>
      <w:r w:rsidRPr="00EE25D1">
        <w:rPr>
          <w:rFonts w:ascii="Calibri" w:hAnsi="Calibri"/>
          <w:i/>
          <w:sz w:val="24"/>
          <w:szCs w:val="24"/>
        </w:rPr>
        <w:t>Revista Boliviana de Derecho</w:t>
      </w:r>
      <w:r w:rsidRPr="00EE25D1">
        <w:rPr>
          <w:rFonts w:ascii="Calibri" w:hAnsi="Calibri"/>
          <w:sz w:val="24"/>
          <w:szCs w:val="24"/>
        </w:rPr>
        <w:t>, núm. 33 (2020).</w:t>
      </w:r>
    </w:p>
    <w:p w:rsidR="00E909E8" w:rsidRPr="00EE25D1" w:rsidRDefault="00E909E8" w:rsidP="00D44BF1">
      <w:pPr>
        <w:pStyle w:val="Textonotapie"/>
        <w:spacing w:before="80" w:after="80" w:line="276" w:lineRule="auto"/>
        <w:rPr>
          <w:rFonts w:ascii="Calibri" w:hAnsi="Calibri"/>
          <w:sz w:val="24"/>
          <w:szCs w:val="24"/>
        </w:rPr>
      </w:pPr>
      <w:r w:rsidRPr="00EE25D1">
        <w:rPr>
          <w:rFonts w:ascii="Calibri" w:hAnsi="Calibri"/>
          <w:smallCaps/>
          <w:sz w:val="24"/>
          <w:szCs w:val="24"/>
        </w:rPr>
        <w:t>Toral Lara</w:t>
      </w:r>
      <w:r w:rsidRPr="00EE25D1">
        <w:rPr>
          <w:rFonts w:ascii="Calibri" w:hAnsi="Calibri"/>
          <w:sz w:val="24"/>
          <w:szCs w:val="24"/>
        </w:rPr>
        <w:t xml:space="preserve">, Estrella, «Las medidas de apoyo judiciales e informales en el nuevo sistema de provisión de apoyos del Código Civil», en AA.VV., </w:t>
      </w:r>
      <w:r w:rsidRPr="00EE25D1">
        <w:rPr>
          <w:rFonts w:ascii="Calibri" w:hAnsi="Calibri"/>
          <w:i/>
          <w:sz w:val="24"/>
          <w:szCs w:val="24"/>
        </w:rPr>
        <w:t>El nuevo Derecho de las capacidades</w:t>
      </w:r>
      <w:r w:rsidRPr="00EE25D1">
        <w:rPr>
          <w:rFonts w:ascii="Calibri" w:hAnsi="Calibri"/>
          <w:sz w:val="24"/>
          <w:szCs w:val="24"/>
        </w:rPr>
        <w:t>, Wolters Kluwers, Madrid, 2021.</w:t>
      </w:r>
    </w:p>
    <w:p w:rsidR="007E5D8F" w:rsidRPr="00EE25D1" w:rsidRDefault="007E5D8F" w:rsidP="00D44BF1">
      <w:pPr>
        <w:pStyle w:val="Textonotapie"/>
        <w:spacing w:before="80" w:after="80" w:line="276" w:lineRule="auto"/>
        <w:rPr>
          <w:rFonts w:ascii="Calibri" w:hAnsi="Calibri"/>
          <w:sz w:val="24"/>
          <w:szCs w:val="24"/>
        </w:rPr>
      </w:pPr>
    </w:p>
    <w:p w:rsidR="00647B75" w:rsidRPr="00EE25D1" w:rsidRDefault="00647B75" w:rsidP="006705C5">
      <w:pPr>
        <w:tabs>
          <w:tab w:val="left" w:pos="6080"/>
        </w:tabs>
        <w:spacing w:before="100" w:beforeAutospacing="1" w:after="100" w:afterAutospacing="1" w:line="240" w:lineRule="auto"/>
        <w:rPr>
          <w:rFonts w:ascii="Calibri" w:hAnsi="Calibri"/>
          <w:sz w:val="28"/>
          <w:szCs w:val="28"/>
        </w:rPr>
      </w:pPr>
    </w:p>
    <w:sectPr w:rsidR="00647B75" w:rsidRPr="00EE25D1" w:rsidSect="00C86FFA">
      <w:footerReference w:type="default" r:id="rId8"/>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17" w:rsidRDefault="00A26817" w:rsidP="00866975">
      <w:pPr>
        <w:spacing w:before="0" w:after="0" w:line="240" w:lineRule="auto"/>
      </w:pPr>
      <w:r>
        <w:separator/>
      </w:r>
    </w:p>
  </w:endnote>
  <w:endnote w:type="continuationSeparator" w:id="0">
    <w:p w:rsidR="00A26817" w:rsidRDefault="00A26817" w:rsidP="0086697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39157"/>
      <w:docPartObj>
        <w:docPartGallery w:val="Page Numbers (Bottom of Page)"/>
        <w:docPartUnique/>
      </w:docPartObj>
    </w:sdtPr>
    <w:sdtContent>
      <w:p w:rsidR="00176949" w:rsidRDefault="006B1558">
        <w:pPr>
          <w:pStyle w:val="Piedepgina"/>
          <w:jc w:val="center"/>
        </w:pPr>
        <w:r w:rsidRPr="005A5709">
          <w:rPr>
            <w:sz w:val="20"/>
            <w:szCs w:val="20"/>
          </w:rPr>
          <w:fldChar w:fldCharType="begin"/>
        </w:r>
        <w:r w:rsidR="00176949" w:rsidRPr="005A5709">
          <w:rPr>
            <w:sz w:val="20"/>
            <w:szCs w:val="20"/>
          </w:rPr>
          <w:instrText xml:space="preserve"> PAGE   \* MERGEFORMAT </w:instrText>
        </w:r>
        <w:r w:rsidRPr="005A5709">
          <w:rPr>
            <w:sz w:val="20"/>
            <w:szCs w:val="20"/>
          </w:rPr>
          <w:fldChar w:fldCharType="separate"/>
        </w:r>
        <w:r w:rsidR="00A26817">
          <w:rPr>
            <w:noProof/>
            <w:sz w:val="20"/>
            <w:szCs w:val="20"/>
          </w:rPr>
          <w:t>1</w:t>
        </w:r>
        <w:r w:rsidRPr="005A5709">
          <w:rPr>
            <w:sz w:val="20"/>
            <w:szCs w:val="20"/>
          </w:rPr>
          <w:fldChar w:fldCharType="end"/>
        </w:r>
      </w:p>
    </w:sdtContent>
  </w:sdt>
  <w:p w:rsidR="00176949" w:rsidRDefault="0017694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17" w:rsidRDefault="00A26817" w:rsidP="00866975">
      <w:pPr>
        <w:spacing w:before="0" w:after="0" w:line="240" w:lineRule="auto"/>
      </w:pPr>
      <w:r>
        <w:separator/>
      </w:r>
    </w:p>
  </w:footnote>
  <w:footnote w:type="continuationSeparator" w:id="0">
    <w:p w:rsidR="00A26817" w:rsidRDefault="00A26817" w:rsidP="00866975">
      <w:pPr>
        <w:spacing w:before="0" w:after="0" w:line="240" w:lineRule="auto"/>
      </w:pPr>
      <w:r>
        <w:continuationSeparator/>
      </w:r>
    </w:p>
  </w:footnote>
  <w:footnote w:id="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El artículo 23 CDPD dice lo siguiente: “1. 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 a) Se reconozca el derecho de todas las personas con discapacidad en edad de contraer matrimonio, a casarse y fundar una familia sobre la base del consentimiento libre y pleno de los futuros cónyuges; -18- 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 c) Las personas con discapacidad, incluidos los niños y las niñas, mantengan su fertilidad, en igualdad de condiciones con las demás. 2. Los Estados Partes garantizarán los derechos y obligaciones de las personas con discapacidad en lo que respecta a la custodia, la tutela, la guarda, la adopción de niños o instituciones similares, cuando esos conceptos se recojan en la legislación nacional; en todos los casos se velará al máximo por el interés superior del niño. Los Estados Partes prestarán la asistencia apropiada a las personas con discapacidad para el desempeño de sus responsabilidades en la crianza de los hijos. 3. Los Estados Partes asegurarán que los niños y las niñas con discapacidad tengan los mismos derechos con respecto a la vida en familia. Para hacer efectivos estos derechos, y a fin de prevenir la ocultación, el abandono, la negligencia y la segregación de los niños y las niñas con discapacidad, los Estados Partes velarán por que se proporcione con anticipación información, servicios y apoyo generales a los menores con discapacidad y a sus familias. 4. Los Estados Partes asegurarán que los niños y las niñas no sean separados de sus padres contra su voluntad, salvo cuando las autoridades competentes, con sujeción a un examen judicial, determinen, de conformidad con la ley y los procedimientos aplicables, que esa separación es necesaria en el interés superior del niño. En ningún caso se separará a un menor de sus padres en razón de una discapacidad del menor, de ambos padres o de uno de ellos. 5. Los Estados Partes harán todo lo posible, cuando la familia inmediata no pueda cuidar de un niño con discapacidad, por proporcionar atención alternativa dentro de la familia extensa y, de no ser esto posible, dentro de la comunidad en un entorno familiar”.</w:t>
      </w:r>
    </w:p>
  </w:footnote>
  <w:footnote w:id="2">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Lacruz Berdejo</w:t>
      </w:r>
      <w:r w:rsidR="00CA2BA9">
        <w:rPr>
          <w:rFonts w:ascii="Calibri" w:hAnsi="Calibri"/>
        </w:rPr>
        <w:t>, José</w:t>
      </w:r>
      <w:r w:rsidRPr="00EE25D1">
        <w:rPr>
          <w:rFonts w:ascii="Calibri" w:hAnsi="Calibri"/>
        </w:rPr>
        <w:t xml:space="preserve"> Luis, </w:t>
      </w:r>
      <w:r w:rsidRPr="00EE25D1">
        <w:rPr>
          <w:rFonts w:ascii="Calibri" w:hAnsi="Calibri"/>
          <w:i/>
        </w:rPr>
        <w:t>Derecho de Familia. El matrimonio y su economía</w:t>
      </w:r>
      <w:r w:rsidRPr="00EE25D1">
        <w:rPr>
          <w:rFonts w:ascii="Calibri" w:hAnsi="Calibri"/>
        </w:rPr>
        <w:t xml:space="preserve">, Bosch, Barcelona, 1963, p. 37, califica el matrimonio como un contrato. En nuestra opinión, ya se conciba el contrato como un negocio jurídico con sustantividad patrimonial o un intercambio de bienes que emana del intercambio de voluntades, el matrimonio no puede identificarse como tal, so riesgo de incurrir en un reduccionismo, pues aquel se define, principalmente, por el consentimiento y los efectos personales que despliega entre los contrayentes, adquiriendo el acervo patrimonial una importancia accesoria, pues la existencia del régimen económico matrimonial está al albur de la previa concurrencia del matrimonio. Se podría decir que el avance de la autonomía de la voluntad en el ámbito matrimonial coadyuva a equiparar el matrimonio con el contrato; sin embargo, también se podría decir, merced de la autonomía de la voluntad y las últimas reformas, lo contrario, pues supeditándose el vínculo matrimonial a la voluntad de cualquiera de los cónyuges, que puede demandar la separación o el divorcio sin necesidad de que concurra justa causa (arts. 81 y 86 CC), bastando la petición de uno de ellos, hace que devenga inaplicable el principio de que el contrato no puede dejarse al arbitrio de una de las partes (art. 1256 CC), que a la sazón constituye una de las reglas paradigmáticas del negocio contractual. </w:t>
      </w:r>
      <w:r w:rsidRPr="00EE25D1">
        <w:rPr>
          <w:rFonts w:ascii="Calibri" w:hAnsi="Calibri"/>
          <w:smallCaps/>
        </w:rPr>
        <w:t>Lasarte Álvarez</w:t>
      </w:r>
      <w:r w:rsidRPr="00EE25D1">
        <w:rPr>
          <w:rFonts w:ascii="Calibri" w:hAnsi="Calibri"/>
        </w:rPr>
        <w:t xml:space="preserve">, Carlos, </w:t>
      </w:r>
      <w:r w:rsidRPr="00EE25D1">
        <w:rPr>
          <w:rFonts w:ascii="Calibri" w:hAnsi="Calibri"/>
          <w:i/>
        </w:rPr>
        <w:t>Derecho de Familia, Principios de Derecho Civil, t. VI</w:t>
      </w:r>
      <w:r w:rsidRPr="00EE25D1">
        <w:rPr>
          <w:rFonts w:ascii="Calibri" w:hAnsi="Calibri"/>
        </w:rPr>
        <w:t xml:space="preserve">, Marcial Pons, Madrid-Barcelona-Buenos Aires, Sao Paulo, 2021, p. 24 y 25, aboga, remitiéndose a sentencias del Tribunal Constitucional y a la Exposición de Motivos de los cuerpos legales que reformaron el matrimonio en 2005, por concebir el matrimonio como una institución matrimonial. Desde nuestro prisma, decir que el matrimonio es una institución, en el sentido de que existe “un conjunto normativo propio aplicable al matrimonio”, es inocuo y estéril, resultando ser una categoría descriptiva que no coadyuva a la resolución de algunos problemas que se pueden dar en la ladera fáctica. Es cierto que el Alto Tribunal ha concebido el matrimonio como institución, pero dicha identificación ha operado extramuros del Derecho Civil, a fin de enfatizar que el matrimonio está ligado con la dimensión objetiva de los derechos fundamentales y los principios que la CE reconoce. Más recientemente, </w:t>
      </w:r>
      <w:r w:rsidRPr="00EE25D1">
        <w:rPr>
          <w:rFonts w:ascii="Calibri" w:hAnsi="Calibri"/>
          <w:smallCaps/>
        </w:rPr>
        <w:t>Martín Salamanca</w:t>
      </w:r>
      <w:r w:rsidRPr="00EE25D1">
        <w:rPr>
          <w:rFonts w:ascii="Calibri" w:hAnsi="Calibri"/>
        </w:rPr>
        <w:t xml:space="preserve">, Sara, «El matrimonio (I)», en AA.VV., </w:t>
      </w:r>
      <w:r w:rsidRPr="00EE25D1">
        <w:rPr>
          <w:rFonts w:ascii="Calibri" w:hAnsi="Calibri"/>
          <w:i/>
        </w:rPr>
        <w:t>Manual de Derecho Civil. vol. V. Derecho de familia</w:t>
      </w:r>
      <w:r w:rsidRPr="00EE25D1">
        <w:rPr>
          <w:rFonts w:ascii="Calibri" w:hAnsi="Calibri"/>
        </w:rPr>
        <w:t xml:space="preserve">, Wolters Kluwers, Madrid, 2021, p. 76, ha dicho que el matrimonio es un acto jurídico, en el sentido de que las partes constituyen libremente su presupuesto, pero sus efectos vienen determinado por la Ley, sin que los contrayentes tengan autonomía en su regulación; no estamos de acuerdo con esta teoría, pues, dejando al margen que la autonomía de la voluntad brilla en todo su esplendor en el régimen económico matrimonial (arts. 1315 y 1325 CC), los cónyuges también gozan de libertad para configurar, antes o durante, los efectos personales del matrimonio. Así, </w:t>
      </w:r>
      <w:r w:rsidRPr="00EE25D1">
        <w:rPr>
          <w:rFonts w:ascii="Calibri" w:hAnsi="Calibri"/>
          <w:i/>
        </w:rPr>
        <w:t>ad exemplum</w:t>
      </w:r>
      <w:r w:rsidRPr="00EE25D1">
        <w:rPr>
          <w:rFonts w:ascii="Calibri" w:hAnsi="Calibri"/>
        </w:rPr>
        <w:t xml:space="preserve">, a pesar de que el artículo 68 del Código Civil cristalice el deber de que los cónyuges vivan juntos estos, en el ejercicio de su autonomía, pueden pactar vivir en domicilios distintos; o el deber de fidelidad conyugal, previsto en el mismo precepto: si los cónyuges, responsables, deciden constituir una comunidad estable de vida plena sin estar al albur del deber de fidelidad conyugal ¿Se podría vindicar la nulidad del matrimonio? Evidentemente no. La tesis de la autora parte de que los efectos del matrimonio están regulados por Ley, a lo que decimos nosotros que también los efectos del contrato de compra y venta, están regulados por Ley, incluso con algunas con normas de </w:t>
      </w:r>
      <w:r w:rsidRPr="00EE25D1">
        <w:rPr>
          <w:rFonts w:ascii="Calibri" w:hAnsi="Calibri"/>
          <w:i/>
        </w:rPr>
        <w:t>ius cogens</w:t>
      </w:r>
      <w:r w:rsidRPr="00EE25D1">
        <w:rPr>
          <w:rFonts w:ascii="Calibri" w:hAnsi="Calibri"/>
        </w:rPr>
        <w:t xml:space="preserve"> (</w:t>
      </w:r>
      <w:r w:rsidRPr="00EE25D1">
        <w:rPr>
          <w:rFonts w:ascii="Calibri" w:hAnsi="Calibri"/>
          <w:i/>
        </w:rPr>
        <w:t>vid</w:t>
      </w:r>
      <w:r w:rsidRPr="00EE25D1">
        <w:rPr>
          <w:rFonts w:ascii="Calibri" w:hAnsi="Calibri"/>
        </w:rPr>
        <w:t xml:space="preserve">. art. 1459 CC), y ello no desnaturaliza que estemos ante un negocio jurídico. Por ello, nos adheríamos a la teoría de que el matrimonio constituye un negocio jurídico de Derecho de familia, pudiendo las partes autorregular sus efectos, dejando a salvo las excepcionales normas de carácter imperativo; sin perjuicio de que tanto la jurisprudencia del Tribunal Supremo como la doctrina de la DGRN identifican el matrimonio como un negocio jurídico, nos remitimos, en el ámbito de la doctrina científica, entre otros, a </w:t>
      </w:r>
      <w:r w:rsidRPr="00EE25D1">
        <w:rPr>
          <w:rFonts w:ascii="Calibri" w:hAnsi="Calibri"/>
          <w:smallCaps/>
        </w:rPr>
        <w:t>Castán Tobeñas</w:t>
      </w:r>
      <w:r w:rsidRPr="00EE25D1">
        <w:rPr>
          <w:rFonts w:ascii="Calibri" w:hAnsi="Calibri"/>
        </w:rPr>
        <w:t xml:space="preserve">, José, </w:t>
      </w:r>
      <w:r w:rsidRPr="00EE25D1">
        <w:rPr>
          <w:rFonts w:ascii="Calibri" w:hAnsi="Calibri"/>
          <w:i/>
        </w:rPr>
        <w:t xml:space="preserve">Derecho civil español, común y foral. t. V. Derecho de familia. vol. I. Relaciones conyugales, </w:t>
      </w:r>
      <w:r w:rsidRPr="00EE25D1">
        <w:rPr>
          <w:rFonts w:ascii="Calibri" w:hAnsi="Calibri"/>
        </w:rPr>
        <w:t xml:space="preserve">Reus, Madrid, 1994, p. 129; </w:t>
      </w:r>
      <w:r w:rsidRPr="00EE25D1">
        <w:rPr>
          <w:rFonts w:ascii="Calibri" w:hAnsi="Calibri"/>
          <w:smallCaps/>
        </w:rPr>
        <w:t>O´Callaghan Muñoz</w:t>
      </w:r>
      <w:r w:rsidRPr="00EE25D1">
        <w:rPr>
          <w:rFonts w:ascii="Calibri" w:hAnsi="Calibri"/>
        </w:rPr>
        <w:t xml:space="preserve">, Xavier, </w:t>
      </w:r>
      <w:r w:rsidRPr="00EE25D1">
        <w:rPr>
          <w:rFonts w:ascii="Calibri" w:hAnsi="Calibri"/>
          <w:i/>
        </w:rPr>
        <w:t xml:space="preserve">Compendio de Derecho Civil, t. IV, Derecho de la familia, </w:t>
      </w:r>
      <w:r w:rsidRPr="00EE25D1">
        <w:rPr>
          <w:rFonts w:ascii="Calibri" w:hAnsi="Calibri"/>
        </w:rPr>
        <w:t xml:space="preserve">Ed. Universitaria Ramón Areces, Madrid, 2022, p. 29; </w:t>
      </w:r>
      <w:r w:rsidRPr="00EE25D1">
        <w:rPr>
          <w:rFonts w:ascii="Calibri" w:hAnsi="Calibri"/>
          <w:smallCaps/>
        </w:rPr>
        <w:t>De Verda y Beamonte</w:t>
      </w:r>
      <w:r w:rsidRPr="00EE25D1">
        <w:rPr>
          <w:rFonts w:ascii="Calibri" w:hAnsi="Calibri"/>
        </w:rPr>
        <w:t xml:space="preserve">, José Ramón y </w:t>
      </w:r>
      <w:r w:rsidRPr="00EE25D1">
        <w:rPr>
          <w:rFonts w:ascii="Calibri" w:hAnsi="Calibri"/>
          <w:smallCaps/>
        </w:rPr>
        <w:t>Chaparro Matamoros</w:t>
      </w:r>
      <w:r w:rsidRPr="00EE25D1">
        <w:rPr>
          <w:rFonts w:ascii="Calibri" w:hAnsi="Calibri"/>
        </w:rPr>
        <w:t xml:space="preserve">, Pedro, «El matrimonio: constitución, requisitos de validez y efectos», en AA.VV., </w:t>
      </w:r>
      <w:r w:rsidRPr="00EE25D1">
        <w:rPr>
          <w:rFonts w:ascii="Calibri" w:hAnsi="Calibri"/>
          <w:i/>
        </w:rPr>
        <w:t>Las crisis familiares. Tratado práctico interdisciplinar</w:t>
      </w:r>
      <w:r w:rsidRPr="00EE25D1">
        <w:rPr>
          <w:rFonts w:ascii="Calibri" w:hAnsi="Calibri"/>
        </w:rPr>
        <w:t>, Tirant lo Blanch, Valencia, 2021, p. 46.</w:t>
      </w:r>
    </w:p>
  </w:footnote>
  <w:footnote w:id="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i/>
        </w:rPr>
        <w:t>Ad abundantiam</w:t>
      </w:r>
      <w:r w:rsidRPr="00EE25D1">
        <w:rPr>
          <w:rFonts w:ascii="Calibri" w:hAnsi="Calibri"/>
        </w:rPr>
        <w:t xml:space="preserve">, la dicción primigenia del artículo 83.2º del Código Civil establecía que no podían casarse “los que no estuvieren en el pleno ejercicio de su razón al tiempo de contraer matrimonio”. </w:t>
      </w:r>
    </w:p>
  </w:footnote>
  <w:footnote w:id="4">
    <w:p w:rsidR="00176949" w:rsidRPr="00EE25D1" w:rsidRDefault="00176949" w:rsidP="00D44BF1">
      <w:pPr>
        <w:pStyle w:val="Textonotapie"/>
        <w:spacing w:before="20" w:after="20" w:line="276" w:lineRule="auto"/>
        <w:rPr>
          <w:rFonts w:ascii="Calibri" w:hAnsi="Calibri"/>
          <w:color w:val="000000" w:themeColor="text1"/>
        </w:rPr>
      </w:pPr>
      <w:r w:rsidRPr="00EE25D1">
        <w:rPr>
          <w:rStyle w:val="Refdenotaalpie"/>
          <w:rFonts w:ascii="Calibri" w:hAnsi="Calibri"/>
          <w:color w:val="000000" w:themeColor="text1"/>
        </w:rPr>
        <w:footnoteRef/>
      </w:r>
      <w:r w:rsidRPr="00EE25D1">
        <w:rPr>
          <w:rFonts w:ascii="Calibri" w:hAnsi="Calibri"/>
          <w:color w:val="000000" w:themeColor="text1"/>
        </w:rPr>
        <w:t xml:space="preserve"> La jurisprudencia destacó, no solo que la derogada incapacitación no necesariamente representaba un óbice para que la persona incapacitada pudiese contraer matrimonio, sino también la relación que albergaba el dictamen médico con el consentimiento matrimonial partiendo, como no podía ser de otro modo, de la presunción general de capacidad en relación al </w:t>
      </w:r>
      <w:r w:rsidRPr="00EE25D1">
        <w:rPr>
          <w:rFonts w:ascii="Calibri" w:hAnsi="Calibri"/>
          <w:i/>
          <w:color w:val="000000" w:themeColor="text1"/>
        </w:rPr>
        <w:t>ius nubendi</w:t>
      </w:r>
      <w:r w:rsidRPr="00EE25D1">
        <w:rPr>
          <w:rFonts w:ascii="Calibri" w:hAnsi="Calibri"/>
          <w:color w:val="000000" w:themeColor="text1"/>
        </w:rPr>
        <w:t xml:space="preserve">, pudiendo citarse, </w:t>
      </w:r>
      <w:r w:rsidRPr="00EE25D1">
        <w:rPr>
          <w:rFonts w:ascii="Calibri" w:hAnsi="Calibri"/>
          <w:i/>
          <w:color w:val="000000" w:themeColor="text1"/>
        </w:rPr>
        <w:t>ad exemplum</w:t>
      </w:r>
      <w:r w:rsidRPr="00EE25D1">
        <w:rPr>
          <w:rFonts w:ascii="Calibri" w:hAnsi="Calibri"/>
          <w:color w:val="000000" w:themeColor="text1"/>
        </w:rPr>
        <w:t>, la STS 8 noviembre 2017 (RJ 2017, 4760), que se expresaba en los siguientes términos: “</w:t>
      </w:r>
      <w:r w:rsidRPr="00EE25D1">
        <w:rPr>
          <w:rFonts w:ascii="Calibri" w:hAnsi="Calibri"/>
          <w:color w:val="000000" w:themeColor="text1"/>
          <w:shd w:val="clear" w:color="auto" w:fill="FFFFFF"/>
        </w:rPr>
        <w:t xml:space="preserve">En ausencia de norma expresa que permita privar «in genere» de la capacidad para contraer matrimonio debe considerarse que las personas con enfermedades mentales o deficiencias sí pueden contraerlo cuando puedan prestar válido consentimiento matrimonial, cuando posean la capacidad natural de entender y querer la unión matrimonial, lo que es posible tanto si la persona está incapacitada (lo confirma el </w:t>
      </w:r>
      <w:hyperlink r:id="rId1" w:tooltip="LEG\1889\27" w:history="1">
        <w:r w:rsidRPr="00EE25D1">
          <w:rPr>
            <w:rFonts w:ascii="Calibri" w:hAnsi="Calibri"/>
          </w:rPr>
          <w:t>artículo</w:t>
        </w:r>
        <w:r w:rsidRPr="00EE25D1">
          <w:rPr>
            <w:rStyle w:val="Hipervnculo"/>
            <w:rFonts w:ascii="Calibri" w:hAnsi="Calibri"/>
            <w:color w:val="000000" w:themeColor="text1"/>
            <w:u w:val="none"/>
            <w:shd w:val="clear" w:color="auto" w:fill="FFFFFF"/>
          </w:rPr>
          <w:t xml:space="preserve"> 171.4.º </w:t>
        </w:r>
      </w:hyperlink>
      <w:r w:rsidRPr="00EE25D1">
        <w:rPr>
          <w:rFonts w:ascii="Calibri" w:hAnsi="Calibri"/>
          <w:color w:val="000000" w:themeColor="text1"/>
          <w:shd w:val="clear" w:color="auto" w:fill="FFFFFF"/>
        </w:rPr>
        <w:t xml:space="preserve">CC ) como cuando, sin estarlo, adolezca de alguna deficiencia psíquica. Así resulta del tenor del </w:t>
      </w:r>
      <w:hyperlink r:id="rId2" w:tooltip="LEG\1889\27" w:history="1">
        <w:r w:rsidRPr="00EE25D1">
          <w:rPr>
            <w:rFonts w:ascii="Calibri" w:hAnsi="Calibri"/>
          </w:rPr>
          <w:t>artículo</w:t>
        </w:r>
        <w:r w:rsidRPr="00EE25D1">
          <w:rPr>
            <w:rStyle w:val="Hipervnculo"/>
            <w:rFonts w:ascii="Calibri" w:hAnsi="Calibri"/>
            <w:color w:val="000000" w:themeColor="text1"/>
            <w:u w:val="none"/>
            <w:shd w:val="clear" w:color="auto" w:fill="FFFFFF"/>
          </w:rPr>
          <w:t xml:space="preserve"> 56 </w:t>
        </w:r>
      </w:hyperlink>
      <w:r w:rsidRPr="00EE25D1">
        <w:rPr>
          <w:rFonts w:ascii="Calibri" w:hAnsi="Calibri"/>
        </w:rPr>
        <w:t>del Código Civil</w:t>
      </w:r>
      <w:r w:rsidRPr="00EE25D1">
        <w:rPr>
          <w:rFonts w:ascii="Calibri" w:hAnsi="Calibri"/>
          <w:color w:val="000000" w:themeColor="text1"/>
          <w:shd w:val="clear" w:color="auto" w:fill="FFFFFF"/>
        </w:rPr>
        <w:t xml:space="preserve"> vigente que exige que quienes deseen contraer matrimonio acrediten previamente que reúnen los requisitos de capacidad exigidos y, si alguno de los contrayentes está afectado por anomalías psíquicas, se exige dictamen médico sobre su aptitud para prestar consentimiento”. </w:t>
      </w:r>
    </w:p>
  </w:footnote>
  <w:footnote w:id="5">
    <w:p w:rsidR="00176949" w:rsidRPr="00EE25D1" w:rsidRDefault="00176949" w:rsidP="00D44BF1">
      <w:pPr>
        <w:pStyle w:val="Textonotapie"/>
        <w:spacing w:before="20" w:after="20" w:line="276" w:lineRule="auto"/>
        <w:rPr>
          <w:rFonts w:ascii="Calibri" w:hAnsi="Calibri"/>
          <w:color w:val="000000" w:themeColor="text1"/>
        </w:rPr>
      </w:pPr>
      <w:r w:rsidRPr="00EE25D1">
        <w:rPr>
          <w:rStyle w:val="Refdenotaalpie"/>
          <w:rFonts w:ascii="Calibri" w:hAnsi="Calibri"/>
          <w:color w:val="000000" w:themeColor="text1"/>
        </w:rPr>
        <w:footnoteRef/>
      </w:r>
      <w:r w:rsidRPr="00EE25D1">
        <w:rPr>
          <w:rFonts w:ascii="Calibri" w:hAnsi="Calibri"/>
          <w:color w:val="000000" w:themeColor="text1"/>
        </w:rPr>
        <w:t xml:space="preserve"> Una mirada a la dicción legal, </w:t>
      </w:r>
      <w:r w:rsidRPr="00EE25D1">
        <w:rPr>
          <w:rFonts w:ascii="Calibri" w:hAnsi="Calibri"/>
          <w:i/>
          <w:color w:val="000000" w:themeColor="text1"/>
        </w:rPr>
        <w:t>ad pedem litterae</w:t>
      </w:r>
      <w:r w:rsidRPr="00EE25D1">
        <w:rPr>
          <w:rFonts w:ascii="Calibri" w:hAnsi="Calibri"/>
          <w:color w:val="000000" w:themeColor="text1"/>
        </w:rPr>
        <w:t xml:space="preserve">, puede conducir a afirmar que la mera deficiencia mental, intelectual o sensorial, legitimará la evacuación del dictamen médico, aunque la voluntad del contrayente en relación al </w:t>
      </w:r>
      <w:r w:rsidRPr="00EE25D1">
        <w:rPr>
          <w:rFonts w:ascii="Calibri" w:hAnsi="Calibri"/>
          <w:i/>
          <w:color w:val="000000" w:themeColor="text1"/>
        </w:rPr>
        <w:t xml:space="preserve">ius nubendi </w:t>
      </w:r>
      <w:r w:rsidRPr="00EE25D1">
        <w:rPr>
          <w:rFonts w:ascii="Calibri" w:hAnsi="Calibri"/>
          <w:color w:val="000000" w:themeColor="text1"/>
        </w:rPr>
        <w:t xml:space="preserve">no esté afectada o limitada. Más allá de la literalidad de la norma, innumerables resoluciones tanto del centro directivo como de la jurisprudencia han expuesto que la necesidad del dictamen se tiene que cohonestar con el nexo causal que puede haber entre la discapacidad y la aptitud del contrayente para prestar el consentimiento matrimonial.  </w:t>
      </w:r>
    </w:p>
  </w:footnote>
  <w:footnote w:id="6">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En el mismo sentido puede verse </w:t>
      </w:r>
      <w:r w:rsidRPr="00EE25D1">
        <w:rPr>
          <w:rFonts w:ascii="Calibri" w:hAnsi="Calibri"/>
          <w:smallCaps/>
        </w:rPr>
        <w:t>De Verda y Beamonte</w:t>
      </w:r>
      <w:r w:rsidRPr="00EE25D1">
        <w:rPr>
          <w:rFonts w:ascii="Calibri" w:hAnsi="Calibri"/>
        </w:rPr>
        <w:t xml:space="preserve">, José Ramón, «Capacidad para contraer matrimonio de las personas con discapacidad», en AA.VV., </w:t>
      </w:r>
      <w:r w:rsidRPr="00EE25D1">
        <w:rPr>
          <w:rFonts w:ascii="Calibri" w:hAnsi="Calibri"/>
          <w:i/>
        </w:rPr>
        <w:t>Un nuevo orden jurídico para las personas con discapacidad</w:t>
      </w:r>
      <w:r w:rsidRPr="00EE25D1">
        <w:rPr>
          <w:rFonts w:ascii="Calibri" w:hAnsi="Calibri"/>
        </w:rPr>
        <w:t xml:space="preserve">, Wolters Kluwers, Madrid, 2021, p. 708. </w:t>
      </w:r>
    </w:p>
  </w:footnote>
  <w:footnote w:id="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La disposición final vigésima primera LJV postergó la entrada en vigor del artículo 56 del Código Civil al día 30 de junio de 2017. </w:t>
      </w:r>
    </w:p>
  </w:footnote>
  <w:footnote w:id="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Aunque la </w:t>
      </w:r>
      <w:r w:rsidRPr="00EE25D1">
        <w:rPr>
          <w:rFonts w:ascii="Calibri" w:hAnsi="Calibri"/>
          <w:color w:val="000000"/>
          <w:shd w:val="clear" w:color="auto" w:fill="FFFFFF"/>
        </w:rPr>
        <w:t xml:space="preserve">RDGRN 29 octubre 2014 emplease el verso </w:t>
      </w:r>
      <w:r w:rsidRPr="00EE25D1">
        <w:rPr>
          <w:rFonts w:ascii="Calibri" w:hAnsi="Calibri"/>
          <w:i/>
          <w:color w:val="000000"/>
          <w:shd w:val="clear" w:color="auto" w:fill="FFFFFF"/>
        </w:rPr>
        <w:t xml:space="preserve">prestar </w:t>
      </w:r>
      <w:r w:rsidRPr="00EE25D1">
        <w:rPr>
          <w:rFonts w:ascii="Calibri" w:hAnsi="Calibri"/>
          <w:color w:val="000000"/>
          <w:shd w:val="clear" w:color="auto" w:fill="FFFFFF"/>
        </w:rPr>
        <w:t xml:space="preserve">en relación al dictamen del médico forense, no lo utilizó como sinónimo de la formación interna de la voluntad, en el sentido expuesto por la </w:t>
      </w:r>
      <w:r w:rsidRPr="00EE25D1">
        <w:rPr>
          <w:rFonts w:ascii="Calibri" w:hAnsi="Calibri"/>
          <w:color w:val="000000" w:themeColor="text1"/>
          <w:shd w:val="clear" w:color="auto" w:fill="FFFFFF"/>
        </w:rPr>
        <w:t xml:space="preserve">Resolución-Circular de 23 de diciembre de 2016, sino en referencia a la emisión o exteriorización de la voluntad. </w:t>
      </w:r>
    </w:p>
  </w:footnote>
  <w:footnote w:id="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Berrocal Lanzarot</w:t>
      </w:r>
      <w:r w:rsidRPr="00EE25D1">
        <w:rPr>
          <w:rFonts w:ascii="Calibri" w:hAnsi="Calibri"/>
        </w:rPr>
        <w:t xml:space="preserve">, Ana Isabel, «Protección jurídica de la persona con la capacidad modificada judicialmente. El matrimonio», </w:t>
      </w:r>
      <w:r w:rsidRPr="00EE25D1">
        <w:rPr>
          <w:rFonts w:ascii="Calibri" w:hAnsi="Calibri"/>
          <w:i/>
        </w:rPr>
        <w:t>Revista Crítica de Derecho Inmobiliario</w:t>
      </w:r>
      <w:r w:rsidRPr="00EE25D1">
        <w:rPr>
          <w:rFonts w:ascii="Calibri" w:hAnsi="Calibri"/>
        </w:rPr>
        <w:t xml:space="preserve">, núm. 770 (2018), p. 3306, decía que el consentimiento matrimonial podía ser expresado al exterior de cualquier forma, mediante la “expresión, escrita, oral o mediante gestos”. </w:t>
      </w:r>
    </w:p>
  </w:footnote>
  <w:footnote w:id="10">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Heras Fernández</w:t>
      </w:r>
      <w:r w:rsidRPr="00EE25D1">
        <w:rPr>
          <w:rFonts w:ascii="Calibri" w:hAnsi="Calibri"/>
        </w:rPr>
        <w:t xml:space="preserve">, María del Mar, «Igualdad jurídica, matrimonio y discapacidad: apoyos y salvaguardias proyectadas», en AA.VV., </w:t>
      </w:r>
      <w:r w:rsidRPr="00EE25D1">
        <w:rPr>
          <w:rFonts w:ascii="Calibri" w:hAnsi="Calibri"/>
          <w:i/>
        </w:rPr>
        <w:t>La voluntad de la personas protegida. Oportunidades, riesgos y salvaguardias</w:t>
      </w:r>
      <w:r w:rsidRPr="00EE25D1">
        <w:rPr>
          <w:rFonts w:ascii="Calibri" w:hAnsi="Calibri"/>
        </w:rPr>
        <w:t xml:space="preserve">, Dykinson, Madrid, 2018, p. 230. Es interesante el debate que plantea </w:t>
      </w:r>
      <w:r w:rsidRPr="00EE25D1">
        <w:rPr>
          <w:rFonts w:ascii="Calibri" w:hAnsi="Calibri"/>
          <w:smallCaps/>
        </w:rPr>
        <w:t>Lasarte Álvarez</w:t>
      </w:r>
      <w:r w:rsidRPr="00EE25D1">
        <w:rPr>
          <w:rFonts w:ascii="Calibri" w:hAnsi="Calibri"/>
        </w:rPr>
        <w:t xml:space="preserve">, Carlos, </w:t>
      </w:r>
      <w:r w:rsidRPr="00EE25D1">
        <w:rPr>
          <w:rFonts w:ascii="Calibri" w:hAnsi="Calibri"/>
          <w:i/>
        </w:rPr>
        <w:t>Derecho de Familia, Principios de Derecho Civil, t. VI</w:t>
      </w:r>
      <w:r w:rsidRPr="00EE25D1">
        <w:rPr>
          <w:rFonts w:ascii="Calibri" w:hAnsi="Calibri"/>
        </w:rPr>
        <w:t xml:space="preserve">, op. cit., pp. 39 y 40, sobre la conveniencia de establecer, de </w:t>
      </w:r>
      <w:r w:rsidRPr="00EE25D1">
        <w:rPr>
          <w:rFonts w:ascii="Calibri" w:hAnsi="Calibri"/>
          <w:i/>
        </w:rPr>
        <w:t>lege ferenda</w:t>
      </w:r>
      <w:r w:rsidRPr="00EE25D1">
        <w:rPr>
          <w:rFonts w:ascii="Calibri" w:hAnsi="Calibri"/>
        </w:rPr>
        <w:t>, una edad matrimonial máxima.</w:t>
      </w:r>
    </w:p>
  </w:footnote>
  <w:footnote w:id="1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En el mismo sentido el último párrafo de la disposición adicional cuarta del Código Civil. </w:t>
      </w:r>
    </w:p>
  </w:footnote>
  <w:footnote w:id="12">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Si nos remitimos a la RAE podremos comprobar que el verbo </w:t>
      </w:r>
      <w:r w:rsidRPr="00EE25D1">
        <w:rPr>
          <w:rFonts w:ascii="Calibri" w:hAnsi="Calibri"/>
          <w:i/>
        </w:rPr>
        <w:t>prestar</w:t>
      </w:r>
      <w:r w:rsidRPr="00EE25D1">
        <w:rPr>
          <w:rFonts w:ascii="Calibri" w:hAnsi="Calibri"/>
        </w:rPr>
        <w:t xml:space="preserve"> significa “dar o comunicar”, pudiéndose referir, en el ámbito del artículo 56 del Código Civil, tanto a la formación de la voluntad tendente al consentimiento matrimonial, como a la exteriorización de la voluntad; lo mismo cabe decir respecto al verbo </w:t>
      </w:r>
      <w:r w:rsidRPr="00EE25D1">
        <w:rPr>
          <w:rFonts w:ascii="Calibri" w:hAnsi="Calibri"/>
          <w:i/>
        </w:rPr>
        <w:t>emitir</w:t>
      </w:r>
      <w:r w:rsidRPr="00EE25D1">
        <w:rPr>
          <w:rFonts w:ascii="Calibri" w:hAnsi="Calibri"/>
        </w:rPr>
        <w:t xml:space="preserve">, que se relaciona en la tercera acepción de la RAE como “dar o manifestar, por escrito o de viva voz, un juicio, un dictamen o una opinión”. </w:t>
      </w:r>
    </w:p>
  </w:footnote>
  <w:footnote w:id="1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Fórmula similar a la que emplea el artículo 665 del Código Civil que regula la capacidad para otorgar el testamento. </w:t>
      </w:r>
    </w:p>
  </w:footnote>
  <w:footnote w:id="14">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Con alguna rara excepción, como la STS 4 noviembre 2015 (RJ 2015, 5138), que, en un caso donde se pedía la incapacitación de una persona que padecía una discapacidad intelectual leve, el Tribunal declaró que, aunque no tuviese anulada la capacidad de obrar, sí estaba limitada, concluyendo que precisaría de un curador para aquellos actos de especial trascendencia, citando expresamente el matrimonio (</w:t>
      </w:r>
      <w:r w:rsidRPr="00EE25D1">
        <w:rPr>
          <w:rFonts w:ascii="Calibri" w:hAnsi="Calibri"/>
          <w:i/>
        </w:rPr>
        <w:t>vid</w:t>
      </w:r>
      <w:r w:rsidRPr="00EE25D1">
        <w:rPr>
          <w:rFonts w:ascii="Calibri" w:hAnsi="Calibri"/>
        </w:rPr>
        <w:t xml:space="preserve">. apartado cuarto del fundamento de derecho cuarto y apartado segundo del fallo). En cambio, dicha sentencia fue desvirtuada posteriormente por las SSTS 8 noviembre 2017 (RJ 2017, 4760) y 7 marzo 2018 (RJ 2018, 934), declarando esta última que la curatela, como complemento de la capacidad, no se podía extender al matrimonio. </w:t>
      </w:r>
    </w:p>
  </w:footnote>
  <w:footnote w:id="15">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De Verda y Beamonte</w:t>
      </w:r>
      <w:r w:rsidRPr="00EE25D1">
        <w:rPr>
          <w:rFonts w:ascii="Calibri" w:hAnsi="Calibri"/>
        </w:rPr>
        <w:t xml:space="preserve">, José Ramón, «Validez del matrimonio contraído por un contrayente con alzhéimer. Comentario a la STS de España núm. 145/2018, de 15 de marzo (RAJ 2018, 1478)», </w:t>
      </w:r>
      <w:r w:rsidRPr="00EE25D1">
        <w:rPr>
          <w:rFonts w:ascii="Calibri" w:hAnsi="Calibri"/>
          <w:i/>
        </w:rPr>
        <w:t>Revista Boliviana de Derecho</w:t>
      </w:r>
      <w:r w:rsidRPr="00EE25D1">
        <w:rPr>
          <w:rFonts w:ascii="Calibri" w:hAnsi="Calibri"/>
        </w:rPr>
        <w:t xml:space="preserve">, núm. 27 (2019), p. 408. </w:t>
      </w:r>
    </w:p>
  </w:footnote>
  <w:footnote w:id="16">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El matrimonio por poder (art. 55 CC) no desnaturaliza la concepción personal del consentimiento matrimonial, pues el apoderado no es un representante </w:t>
      </w:r>
      <w:r w:rsidRPr="00EE25D1">
        <w:rPr>
          <w:rFonts w:ascii="Calibri" w:hAnsi="Calibri"/>
          <w:i/>
        </w:rPr>
        <w:t>stricto sensu</w:t>
      </w:r>
      <w:r w:rsidRPr="00EE25D1">
        <w:rPr>
          <w:rFonts w:ascii="Calibri" w:hAnsi="Calibri"/>
        </w:rPr>
        <w:t xml:space="preserve">, sino, como dice Lasarte Álvarez, C: </w:t>
      </w:r>
      <w:r w:rsidRPr="00EE25D1">
        <w:rPr>
          <w:rFonts w:ascii="Calibri" w:hAnsi="Calibri"/>
          <w:i/>
        </w:rPr>
        <w:t>Derecho de Familia, Principios de Derecho Civil, t. VI</w:t>
      </w:r>
      <w:r w:rsidRPr="00EE25D1">
        <w:rPr>
          <w:rFonts w:ascii="Calibri" w:hAnsi="Calibri"/>
        </w:rPr>
        <w:t xml:space="preserve">, op. cit., p. 50, “un mero </w:t>
      </w:r>
      <w:r w:rsidRPr="00EE25D1">
        <w:rPr>
          <w:rFonts w:ascii="Calibri" w:hAnsi="Calibri"/>
          <w:i/>
        </w:rPr>
        <w:t>nuncio</w:t>
      </w:r>
      <w:r w:rsidRPr="00EE25D1">
        <w:rPr>
          <w:rFonts w:ascii="Calibri" w:hAnsi="Calibri"/>
        </w:rPr>
        <w:t xml:space="preserve">, que se limita </w:t>
      </w:r>
      <w:r w:rsidRPr="00EE25D1">
        <w:rPr>
          <w:rFonts w:ascii="Calibri" w:hAnsi="Calibri"/>
          <w:i/>
        </w:rPr>
        <w:t xml:space="preserve">a prestar su figura </w:t>
      </w:r>
      <w:r w:rsidRPr="00EE25D1">
        <w:rPr>
          <w:rFonts w:ascii="Calibri" w:hAnsi="Calibri"/>
        </w:rPr>
        <w:t xml:space="preserve">(valga la expresión) para que en términos de etiqueta y protocolo el matrimonio no raye en el ridículo”. </w:t>
      </w:r>
    </w:p>
  </w:footnote>
  <w:footnote w:id="1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Dice </w:t>
      </w:r>
      <w:r w:rsidRPr="00EE25D1">
        <w:rPr>
          <w:rFonts w:ascii="Calibri" w:hAnsi="Calibri"/>
          <w:smallCaps/>
        </w:rPr>
        <w:t>De Salas Murillo</w:t>
      </w:r>
      <w:r w:rsidRPr="00EE25D1">
        <w:rPr>
          <w:rFonts w:ascii="Calibri" w:hAnsi="Calibri"/>
        </w:rPr>
        <w:t xml:space="preserve">, Sofía, «Significado jurídico del apoyo en el ejercicio de la capacidad jurídica de las personas con discapacidad: presente tras diez años de la Convención», </w:t>
      </w:r>
      <w:r w:rsidRPr="00EE25D1">
        <w:rPr>
          <w:rFonts w:ascii="Calibri" w:hAnsi="Calibri"/>
          <w:i/>
        </w:rPr>
        <w:t>Revista Doctrinal Aranzadi Civil-Mercantil</w:t>
      </w:r>
      <w:r w:rsidRPr="00EE25D1">
        <w:rPr>
          <w:rFonts w:ascii="Calibri" w:hAnsi="Calibri"/>
        </w:rPr>
        <w:t xml:space="preserve">, núm. 5 (2018), pp. 7 y 8, que las medidas de apoyo no tienen por finalidad “suplir ni complementar la voluntad del individuo, sino cooperar a que su voluntad, libremente formada, se exprese y se lleve a través de los medios en los que tales apoyos se materialicen”. De manera más específica en relación al matrimonio, </w:t>
      </w:r>
      <w:r w:rsidRPr="00EE25D1">
        <w:rPr>
          <w:rFonts w:ascii="Calibri" w:hAnsi="Calibri"/>
          <w:smallCaps/>
        </w:rPr>
        <w:t>Heras Fernández</w:t>
      </w:r>
      <w:r w:rsidRPr="00EE25D1">
        <w:rPr>
          <w:rFonts w:ascii="Calibri" w:hAnsi="Calibri"/>
        </w:rPr>
        <w:t xml:space="preserve">, María del Mar, «Igualdad jurídica, matrimonio y discapacidad: apoyos y salvaguardias proyectadas», op. cit., pp. 219, 228 y 229, admite que el curador, por la naturaleza personalísima del matrimonio, no puede asistir al acto “puesto que no cabe por su parte ningún tipo de autorización previa, aprobación, confirmación o ratificación de la voluntad matrimonial, al igual que no puede oponerse a su celebración”. </w:t>
      </w:r>
    </w:p>
  </w:footnote>
  <w:footnote w:id="1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No estamos de acuerdo con que el nuevo sistema de apoyo sea una mera “interdicción lingüística” como sostiene </w:t>
      </w:r>
      <w:r w:rsidRPr="00EE25D1">
        <w:rPr>
          <w:rFonts w:ascii="Calibri" w:hAnsi="Calibri"/>
          <w:smallCaps/>
        </w:rPr>
        <w:t>Pereña Vicente</w:t>
      </w:r>
      <w:r w:rsidRPr="00EE25D1">
        <w:rPr>
          <w:rFonts w:ascii="Calibri" w:hAnsi="Calibri"/>
        </w:rPr>
        <w:t xml:space="preserve">, Montserrat, «El régimen jurídico de los poderes preventivos en la reforma del Código Civil», en AA.VV., </w:t>
      </w:r>
      <w:r w:rsidRPr="00EE25D1">
        <w:rPr>
          <w:rFonts w:ascii="Calibri" w:hAnsi="Calibri"/>
          <w:i/>
        </w:rPr>
        <w:t>Principios y preceptos de la reforma legal de la discapacidad. El Derecho en el umbral de la política</w:t>
      </w:r>
      <w:r w:rsidRPr="00EE25D1">
        <w:rPr>
          <w:rFonts w:ascii="Calibri" w:hAnsi="Calibri"/>
        </w:rPr>
        <w:t xml:space="preserve">, Marcial Pons, Madrid, 2021, p. 198, pues, como veremos a continuación, identificar el apoyo con el complemento de capacidad desvirtuaría el carácter personalísimo del matrimonio o del testamento. </w:t>
      </w:r>
    </w:p>
  </w:footnote>
  <w:footnote w:id="1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De Verda y Beamonte</w:t>
      </w:r>
      <w:r w:rsidRPr="00EE25D1">
        <w:rPr>
          <w:rFonts w:ascii="Calibri" w:hAnsi="Calibri"/>
        </w:rPr>
        <w:t xml:space="preserve">, José Ramón, «Primeras resoluciones judiciales aplicando la Ley 8/2021, de 2 de junio, en materia de discapacidad», </w:t>
      </w:r>
      <w:r w:rsidRPr="00EE25D1">
        <w:rPr>
          <w:rFonts w:ascii="Calibri" w:hAnsi="Calibri"/>
          <w:i/>
        </w:rPr>
        <w:t>Diario La Ley</w:t>
      </w:r>
      <w:r w:rsidRPr="00EE25D1">
        <w:rPr>
          <w:rFonts w:ascii="Calibri" w:hAnsi="Calibri"/>
        </w:rPr>
        <w:t xml:space="preserve">, núm. 10021 (2022), pp. 4 y 5; </w:t>
      </w:r>
      <w:r w:rsidRPr="00EE25D1">
        <w:rPr>
          <w:rFonts w:ascii="Calibri" w:hAnsi="Calibri"/>
          <w:smallCaps/>
        </w:rPr>
        <w:t>Arnau Moya</w:t>
      </w:r>
      <w:r w:rsidRPr="00EE25D1">
        <w:rPr>
          <w:rFonts w:ascii="Calibri" w:hAnsi="Calibri"/>
        </w:rPr>
        <w:t xml:space="preserve">, Federico, «Aspectos polémicos de la Ley 8/2021, de medidas de apoyo a las personas con discapacidad», </w:t>
      </w:r>
      <w:r w:rsidRPr="00EE25D1">
        <w:rPr>
          <w:rFonts w:ascii="Calibri" w:hAnsi="Calibri"/>
          <w:i/>
        </w:rPr>
        <w:t>Revista Boliviana de Derecho</w:t>
      </w:r>
      <w:r w:rsidRPr="00EE25D1">
        <w:rPr>
          <w:rFonts w:ascii="Calibri" w:hAnsi="Calibri"/>
        </w:rPr>
        <w:t>, núm. 33 (2022), p. 561.</w:t>
      </w:r>
    </w:p>
  </w:footnote>
  <w:footnote w:id="20">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Autores como </w:t>
      </w:r>
      <w:r w:rsidRPr="00EE25D1">
        <w:rPr>
          <w:rFonts w:ascii="Calibri" w:hAnsi="Calibri"/>
          <w:smallCaps/>
        </w:rPr>
        <w:t>O´Callaghan Muñoz</w:t>
      </w:r>
      <w:r w:rsidRPr="00EE25D1">
        <w:rPr>
          <w:rFonts w:ascii="Calibri" w:hAnsi="Calibri"/>
        </w:rPr>
        <w:t xml:space="preserve">, Xavier, </w:t>
      </w:r>
      <w:r w:rsidRPr="00EE25D1">
        <w:rPr>
          <w:rFonts w:ascii="Calibri" w:hAnsi="Calibri"/>
          <w:i/>
        </w:rPr>
        <w:t xml:space="preserve">Compendio de Derecho Civil, t. I, Introducción y parte general del Derecho civil, Derecho de la persona, </w:t>
      </w:r>
      <w:r w:rsidRPr="00EE25D1">
        <w:rPr>
          <w:rFonts w:ascii="Calibri" w:hAnsi="Calibri"/>
        </w:rPr>
        <w:t xml:space="preserve">2022, Ed. Universitaria Ramón Areces, Madrid, 2022, p. 295, sigue empleando dicha denominación, aún sabiendas de la entrada en vigor de la LAPCD. </w:t>
      </w:r>
    </w:p>
  </w:footnote>
  <w:footnote w:id="2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i/>
        </w:rPr>
        <w:t>Ad abundantiam</w:t>
      </w:r>
      <w:r w:rsidRPr="00EE25D1">
        <w:rPr>
          <w:rFonts w:ascii="Calibri" w:hAnsi="Calibri"/>
        </w:rPr>
        <w:t xml:space="preserve">, precisamos que, con la legislación anterior, tenía sentido el </w:t>
      </w:r>
      <w:r w:rsidRPr="00EE25D1">
        <w:rPr>
          <w:rFonts w:ascii="Calibri" w:hAnsi="Calibri"/>
          <w:i/>
        </w:rPr>
        <w:t>nomen</w:t>
      </w:r>
      <w:r w:rsidRPr="00EE25D1">
        <w:rPr>
          <w:rFonts w:ascii="Calibri" w:hAnsi="Calibri"/>
        </w:rPr>
        <w:t xml:space="preserve"> “capacidad de obrar restringida o “capacidad de obrar limitada”, pues la autoridad judicial podía en sentencia limitar, total o parcialmente, la capacidad de obrar y proveer el nombramiento de un curador que complementara la limitada capacidad de obrar de la persona encorsetada en el proceso. Hasta la publicación de la LAPCD el ordenamiento jurídico español no contemplaba las ayudas a tenor del modelo proteccionista que albergaba, pues a costa de vestir la protección, se desvestía la libertad y la integración. Conforme a los postulados de la CDPD el nuevo paradigma consiste en dispensar a la persona con discapacidad las ayudas precisas para que, en el momento de perfección de cualquier acto o negocio jurídico, esta actúe de manera autónoma (salvo los casos donde precise de una representación) o, dicho de otro modo, con plena capacidad, coadyuvando el apoyo a dicho fin. Si una persona con discapacidad ha sido auxiliada para que, por ejemplo, pueda firmar en solitario un contrato, sin ningún tipo de complemento bajo el ropaje de la asistencia o de la autorización ¿Qué sentido tiene decir que la persona con discapacidad tiene una capacidad de obrar restringida si gracias al apoyo ha podido actuar con plena capacidad?  </w:t>
      </w:r>
    </w:p>
  </w:footnote>
  <w:footnote w:id="22">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Puede verse, por ejemplo, </w:t>
      </w:r>
      <w:r w:rsidRPr="00EE25D1">
        <w:rPr>
          <w:rFonts w:ascii="Calibri" w:hAnsi="Calibri"/>
          <w:smallCaps/>
        </w:rPr>
        <w:t>Martínez de Aguirre Aldaz</w:t>
      </w:r>
      <w:r w:rsidRPr="00EE25D1">
        <w:rPr>
          <w:rFonts w:ascii="Calibri" w:hAnsi="Calibri"/>
        </w:rPr>
        <w:t xml:space="preserve">, Carlos, «Curatela y representación: cinco tesis heterodoxas y un estrambote», en AA.VV., </w:t>
      </w:r>
      <w:r w:rsidRPr="00EE25D1">
        <w:rPr>
          <w:rFonts w:ascii="Calibri" w:hAnsi="Calibri"/>
          <w:i/>
        </w:rPr>
        <w:t>Claves para la adaptación del ordenamiento jurídico privado a la Convención de Naciones Unidas en materia de discapacidad</w:t>
      </w:r>
      <w:r w:rsidRPr="00EE25D1">
        <w:rPr>
          <w:rFonts w:ascii="Calibri" w:hAnsi="Calibri"/>
        </w:rPr>
        <w:t xml:space="preserve">, Tirant lo Blanch, Valencia, 2019, p. 264, que tacha la asistencia como un “mecanismo de complemento de capacidad”, diciendo que “para la validez del acto tienen que consentir los dos, curador y curatelado”. Véase también </w:t>
      </w:r>
      <w:r w:rsidRPr="00EE25D1">
        <w:rPr>
          <w:rFonts w:ascii="Calibri" w:hAnsi="Calibri"/>
          <w:smallCaps/>
        </w:rPr>
        <w:t>Serrano Chamorro</w:t>
      </w:r>
      <w:r w:rsidRPr="00EE25D1">
        <w:rPr>
          <w:rFonts w:ascii="Calibri" w:hAnsi="Calibri"/>
        </w:rPr>
        <w:t xml:space="preserve">, María Eugenia, «Consideraciones sobre la capacidad jurídica versus capacidad de ejercicio tras los nuevos cambios legislativos: criterios jurisprudenciales», </w:t>
      </w:r>
      <w:r w:rsidRPr="00EE25D1">
        <w:rPr>
          <w:rFonts w:ascii="Calibri" w:hAnsi="Calibri"/>
          <w:i/>
        </w:rPr>
        <w:t>Actualidad Civil</w:t>
      </w:r>
      <w:r w:rsidRPr="00EE25D1">
        <w:rPr>
          <w:rFonts w:ascii="Calibri" w:hAnsi="Calibri"/>
        </w:rPr>
        <w:t>, núm. 2 (2022) pp. 4, 6, 15 y 16. Tampoco los Tribunales se han inhibido en tachar el apoyo como un complemento de capacidad, como la SAP Cádiz 27 octubre 2021 (JUR 2022, 40753), que, estando en vigor la LAPCD, se refiere al apoyo del curador asistencial como complemento de capacidad [</w:t>
      </w:r>
      <w:r w:rsidRPr="00EE25D1">
        <w:rPr>
          <w:rFonts w:ascii="Calibri" w:hAnsi="Calibri"/>
          <w:i/>
        </w:rPr>
        <w:t>vid</w:t>
      </w:r>
      <w:r w:rsidRPr="00EE25D1">
        <w:rPr>
          <w:rFonts w:ascii="Calibri" w:hAnsi="Calibri"/>
        </w:rPr>
        <w:t>. fundamento de derecho cuarto y apartado tercero letra a) del fallo].</w:t>
      </w:r>
    </w:p>
  </w:footnote>
  <w:footnote w:id="2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Similar senda argumentativa secunda </w:t>
      </w:r>
      <w:r w:rsidRPr="00EE25D1">
        <w:rPr>
          <w:rFonts w:ascii="Calibri" w:hAnsi="Calibri"/>
          <w:smallCaps/>
        </w:rPr>
        <w:t>Leciñena Ibarra</w:t>
      </w:r>
      <w:r w:rsidRPr="00EE25D1">
        <w:rPr>
          <w:rFonts w:ascii="Calibri" w:hAnsi="Calibri"/>
        </w:rPr>
        <w:t xml:space="preserve">, Ascensión, «Reflexiones sobre la formación de la voluntad negocial en personas que precisan apoyos en el ejercicio de su capacidad jurídica», </w:t>
      </w:r>
      <w:r w:rsidRPr="00EE25D1">
        <w:rPr>
          <w:rFonts w:ascii="Calibri" w:hAnsi="Calibri"/>
          <w:i/>
        </w:rPr>
        <w:t>Revista de Derecho Civil</w:t>
      </w:r>
      <w:r w:rsidRPr="00EE25D1">
        <w:rPr>
          <w:rFonts w:ascii="Calibri" w:hAnsi="Calibri"/>
        </w:rPr>
        <w:t xml:space="preserve">, vol. IX, núm. 1 (2022), pp. 259 y 265. </w:t>
      </w:r>
      <w:r w:rsidRPr="00EE25D1">
        <w:rPr>
          <w:rFonts w:ascii="Calibri" w:hAnsi="Calibri"/>
          <w:smallCaps/>
        </w:rPr>
        <w:t>Serrano Chamorro</w:t>
      </w:r>
      <w:r w:rsidRPr="00EE25D1">
        <w:rPr>
          <w:rFonts w:ascii="Calibri" w:hAnsi="Calibri"/>
        </w:rPr>
        <w:t xml:space="preserve">, María Eugenia, «Consideraciones sobre la capacidad jurídica versus capacidad de ejercicio tras los nuevos cambios legislativos: criterios jurisprudenciales», op. cit., pp. 8 y 11, citada </w:t>
      </w:r>
      <w:r w:rsidRPr="00EE25D1">
        <w:rPr>
          <w:rFonts w:ascii="Calibri" w:hAnsi="Calibri"/>
          <w:i/>
        </w:rPr>
        <w:t>supra</w:t>
      </w:r>
      <w:r w:rsidRPr="00EE25D1">
        <w:rPr>
          <w:rFonts w:ascii="Calibri" w:hAnsi="Calibri"/>
        </w:rPr>
        <w:t>, defiende una postura ambigua y confusa, pues a pesar de calificar el apoyo o la asistencia como una suerte de complemento de capacidad (</w:t>
      </w:r>
      <w:r w:rsidRPr="00EE25D1">
        <w:rPr>
          <w:rFonts w:ascii="Calibri" w:hAnsi="Calibri"/>
          <w:i/>
        </w:rPr>
        <w:t>vid</w:t>
      </w:r>
      <w:r w:rsidRPr="00EE25D1">
        <w:rPr>
          <w:rFonts w:ascii="Calibri" w:hAnsi="Calibri"/>
        </w:rPr>
        <w:t xml:space="preserve">. pp. 4,  6, 15 y 16.), con todo lo que ello conlleva, en otros pasajes de su trabajo parece identificar el apoyo según los postulados de la CDPD que aquí hemos defendido. Puede verse la p. 8, donde dice, en relación a las medidas de apoyo, que “no tienen que consistir necesariamente en prestar su asistencia para el acto o negocio jurídico pretendido, sino en prestar un apoyo de tal naturaleza que dicha persona pueda expresar su consentimiento en igualdad de condiciones con cualquier otra persona no afectada por una discapacidad”, o la p. 11, donde explica que, a raíz de la reforma, “la persona con discapacidad será la que, con los apoyos y asistencia que necesite, dedica sobre celebrar o no un negocio, con quién y cuál será su contenido”. No compartimos el prisma de la autora cuando, respecto al apoyo, emplea el </w:t>
      </w:r>
      <w:r w:rsidRPr="00EE25D1">
        <w:rPr>
          <w:rFonts w:ascii="Calibri" w:hAnsi="Calibri"/>
          <w:i/>
        </w:rPr>
        <w:t>nomen iuris</w:t>
      </w:r>
      <w:r w:rsidRPr="00EE25D1">
        <w:rPr>
          <w:rFonts w:ascii="Calibri" w:hAnsi="Calibri"/>
        </w:rPr>
        <w:t xml:space="preserve"> de complemento de capacidad; la capacidad se mantiene indemne, sea la persona discapacitada o no, el apoyo, a lo sumo, lo que complementa es el proceso de formación de la voluntad. Mantener la tesis contraria no resistiría a nuestro juicio la siguiente cuestión: Si el apoyo complementa la capacidad ¿Por qué no será necesaria la firma del curador, por ejemplo, en el acta matrimonial o en cualquier negocio jurídico si dispensó al contrayente el apoyo previsto en el artículo 56 del Código Civil? o ¿Por qué no es necesaria la autorización de la persona que brinda el apoyo en cualquier acto o negocio jurídico? Porque el apoyo, cuya importancia y virtualidad se visualiza </w:t>
      </w:r>
      <w:r w:rsidRPr="00EE25D1">
        <w:rPr>
          <w:rFonts w:ascii="Calibri" w:hAnsi="Calibri"/>
          <w:i/>
        </w:rPr>
        <w:t>ex ante</w:t>
      </w:r>
      <w:r w:rsidRPr="00EE25D1">
        <w:rPr>
          <w:rFonts w:ascii="Calibri" w:hAnsi="Calibri"/>
        </w:rPr>
        <w:t xml:space="preserve">, es lo que permite que la persona con discapacidad pueda perfeccionar el acto o negocio jurídico con “plena capacidad”, o mejor dicho, prestando un consentimiento libre, autónomo e independiente. En palabras de </w:t>
      </w:r>
      <w:r w:rsidRPr="00EE25D1">
        <w:rPr>
          <w:rFonts w:ascii="Calibri" w:hAnsi="Calibri"/>
          <w:smallCaps/>
        </w:rPr>
        <w:t>García Rubio</w:t>
      </w:r>
      <w:r w:rsidRPr="00EE25D1">
        <w:rPr>
          <w:rFonts w:ascii="Calibri" w:hAnsi="Calibri"/>
        </w:rPr>
        <w:t xml:space="preserve">, María Paz, «La reforma operada por la Ley 8/2021 en materia de apoyo a las personas con discapacidad: planteamiento general de sus aspectos civiles», en AA.VV., </w:t>
      </w:r>
      <w:r w:rsidRPr="00EE25D1">
        <w:rPr>
          <w:rFonts w:ascii="Calibri" w:hAnsi="Calibri"/>
          <w:i/>
        </w:rPr>
        <w:t>El nuevo Derecho de las capacidades</w:t>
      </w:r>
      <w:r w:rsidRPr="00EE25D1">
        <w:rPr>
          <w:rFonts w:ascii="Calibri" w:hAnsi="Calibri"/>
        </w:rPr>
        <w:t xml:space="preserve">, Wolters Kluwers, Madrid, 2021, p. 63, “en la configuración de la nueva Ley el apoyo lejos de ser un fin en sí mismo, se perfila como un medio”. </w:t>
      </w:r>
    </w:p>
  </w:footnote>
  <w:footnote w:id="24">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El complemento de capacidad no ha sido derogado totalmente por el legislador, encontrándose vigente para los menores emancipados (véase el artículo 247 CC en relación con el primer párrafo del apartado VI de la Exposición de Motivos de la LAPCD, y el artículo 235.3º CC).</w:t>
      </w:r>
    </w:p>
  </w:footnote>
  <w:footnote w:id="25">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Lo explica, con gran magisterio, </w:t>
      </w:r>
      <w:r w:rsidRPr="00EE25D1">
        <w:rPr>
          <w:rFonts w:ascii="Calibri" w:hAnsi="Calibri"/>
          <w:smallCaps/>
        </w:rPr>
        <w:t>Pérez Gallardo</w:t>
      </w:r>
      <w:r w:rsidRPr="00EE25D1">
        <w:rPr>
          <w:rFonts w:ascii="Calibri" w:hAnsi="Calibri"/>
        </w:rPr>
        <w:t xml:space="preserve">, Leonardo Bernardino, «El testamento otorgado con apoyos por persona con discapacidad ¿una quimera?», </w:t>
      </w:r>
      <w:r w:rsidRPr="00EE25D1">
        <w:rPr>
          <w:rFonts w:ascii="Calibri" w:hAnsi="Calibri"/>
          <w:i/>
        </w:rPr>
        <w:t>Revista Crítica de Derecho Inmobiliario</w:t>
      </w:r>
      <w:r w:rsidRPr="00EE25D1">
        <w:rPr>
          <w:rFonts w:ascii="Calibri" w:hAnsi="Calibri"/>
        </w:rPr>
        <w:t xml:space="preserve">, núm. 782 (2020), p. 3633, el cual, remitiéndose previamente al Derecho argentino, dice: “Si este es el sentido con el que se interpreta la función de los apoyos, en nada riñe la naturaleza personalísima del negocio testamentaria con la posibilidad de que en su otorgamiento puedan intervenir los apoyos, al margen de las consideraciones que ulteriormente se hagan y sin negar, como ya lo han hecho algunos autores al criticar la Observación general núm. 1, las circunstancias en que puedan estar incursas ciertas personas con discapacidad intelectual o psicosocial, que no les permite expresar su voluntad para lo cual está prevista la presencia de apoyos intensos, con facultades de representación, aun con carácter excepcional; supuestos en los que no será posible el otorgamiento del testamento, como tampoco de convertirse en codecisor o complemento en el ejercicio de la capacidad testamentaria”. Huelga decir que, aunque el meritado autor vertiera dichas consideraciones en relación al negocio jurídico testamentario, las mismas son extensibles al matrimonio, toda vez que ambos negocios son </w:t>
      </w:r>
      <w:r w:rsidRPr="00EE25D1">
        <w:rPr>
          <w:rFonts w:ascii="Calibri" w:hAnsi="Calibri"/>
          <w:i/>
        </w:rPr>
        <w:t>intuitu personae</w:t>
      </w:r>
      <w:r w:rsidRPr="00EE25D1">
        <w:rPr>
          <w:rFonts w:ascii="Calibri" w:hAnsi="Calibri"/>
        </w:rPr>
        <w:t>. Posteriormente, en la p. 2642, afirma, en su disertación del negocio testamentario y la discapacidad intelectual, lo siguiente: “El otorgamiento de un testamento con apoyos por personas con discapacidades intelectuales o psicosociales no debe ser solo una posibilidad, sino también una realidad. Parto de la tesis de que ello tiene como límite una acción de representación o de complemento mismo del ejercicio de la capacidad jurídica, pues en tales circunstancias se conculcaría la naturaleza personalísima del derecho a testar”.</w:t>
      </w:r>
    </w:p>
  </w:footnote>
  <w:footnote w:id="26">
    <w:p w:rsidR="00176949" w:rsidRPr="00EE25D1" w:rsidRDefault="00176949" w:rsidP="00D44BF1">
      <w:pPr>
        <w:pStyle w:val="parrafo"/>
        <w:shd w:val="clear" w:color="auto" w:fill="FFFFFF"/>
        <w:spacing w:before="20" w:beforeAutospacing="0" w:after="20" w:afterAutospacing="0" w:line="276" w:lineRule="auto"/>
        <w:jc w:val="both"/>
        <w:rPr>
          <w:rFonts w:ascii="Calibri" w:hAnsi="Calibri" w:cs="Calibri"/>
          <w:color w:val="000000"/>
          <w:sz w:val="20"/>
          <w:szCs w:val="20"/>
        </w:rPr>
      </w:pPr>
      <w:r w:rsidRPr="00EE25D1">
        <w:rPr>
          <w:rStyle w:val="Refdenotaalpie"/>
          <w:rFonts w:ascii="Calibri" w:hAnsi="Calibri" w:cs="Calibri"/>
          <w:sz w:val="20"/>
          <w:szCs w:val="20"/>
        </w:rPr>
        <w:footnoteRef/>
      </w:r>
      <w:r w:rsidRPr="00EE25D1">
        <w:rPr>
          <w:rFonts w:ascii="Calibri" w:hAnsi="Calibri" w:cs="Calibri"/>
          <w:sz w:val="20"/>
          <w:szCs w:val="20"/>
        </w:rPr>
        <w:t xml:space="preserve"> Así lo dispone el apartado cuarto: “(…) </w:t>
      </w:r>
      <w:r w:rsidRPr="00EE25D1">
        <w:rPr>
          <w:rFonts w:ascii="Calibri" w:hAnsi="Calibri" w:cs="Calibri"/>
          <w:color w:val="000000"/>
          <w:sz w:val="20"/>
          <w:szCs w:val="20"/>
        </w:rPr>
        <w:t>para el caso excepcional de que alguno de los contrayentes presentare una condición de salud que, de modo evidente, categórico y sustancial pueda impedirle prestar el consentimiento matrimonial pese a las medidas de apoyo, por los promotores se aportarán inicialmente acompañando a su solicitud o por requerimiento del Notario autorizante en trámite de subsanación, el informe o los informes, en relación con su aptitud, realizados por su médico de cabecera o médico especialista que le esté tratando y en los que se manifiesten las circunstancias en relación con la aptitud o no para prestar el consentimiento. Si tras ser requeridos para su subsanación, no aportasen estos documentos, el Notario dictará resolución de inadmisión del procedimiento en el acta por no subsanar la falta de elemento imprescindible para fundar su juicio de capacidad. En caso de aportarse, el Notario iniciará o continuará el acta de autorización y, en trámite de prueba, hará una valoración de la capacidad de los contrayentes. Si lo estima necesario para corroborar cualquier dato dudoso o paliar la insuficiencia de los informes inicialmente aportados, teniendo en cuenta lo establecido en el artículo 56 párrafo 2.º del Código Civil, solicitará informe pericial médico dirimente sobre la capacidad. Y, en función de los informes recabados resolverá la autorización o no del matrimonio”.</w:t>
      </w:r>
    </w:p>
  </w:footnote>
  <w:footnote w:id="2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En el mismo sentido, </w:t>
      </w:r>
      <w:r w:rsidRPr="00EE25D1">
        <w:rPr>
          <w:rFonts w:ascii="Calibri" w:hAnsi="Calibri"/>
          <w:smallCaps/>
        </w:rPr>
        <w:t>Martínez Rodríguez</w:t>
      </w:r>
      <w:r w:rsidRPr="00EE25D1">
        <w:rPr>
          <w:rFonts w:ascii="Calibri" w:hAnsi="Calibri"/>
        </w:rPr>
        <w:t xml:space="preserve">, Nieves, «Discapacidad y Derecho de Familia. Nuevos principios, nuevas normas», op. cit., p. 320. </w:t>
      </w:r>
    </w:p>
  </w:footnote>
  <w:footnote w:id="2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Así se infiere de la Instrucción  9 enero 1995 y 31 enero 2006, de la Dirección General de los Registros y del Notariado.</w:t>
      </w:r>
    </w:p>
  </w:footnote>
  <w:footnote w:id="2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Guilarte Martín-Calero</w:t>
      </w:r>
      <w:r w:rsidRPr="00EE25D1">
        <w:rPr>
          <w:rFonts w:ascii="Calibri" w:hAnsi="Calibri"/>
        </w:rPr>
        <w:t xml:space="preserve">, Cristina, «Matrimonio y discapacidad», </w:t>
      </w:r>
      <w:r w:rsidRPr="00EE25D1">
        <w:rPr>
          <w:rFonts w:ascii="Calibri" w:hAnsi="Calibri"/>
          <w:i/>
        </w:rPr>
        <w:t>Derecho Privado y Constitución</w:t>
      </w:r>
      <w:r w:rsidRPr="00EE25D1">
        <w:rPr>
          <w:rFonts w:ascii="Calibri" w:hAnsi="Calibri"/>
        </w:rPr>
        <w:t xml:space="preserve">, núm. 32 (2018), pp.  83 y 84. </w:t>
      </w:r>
    </w:p>
  </w:footnote>
  <w:footnote w:id="30">
    <w:p w:rsidR="00176949" w:rsidRPr="00EE25D1" w:rsidRDefault="00176949" w:rsidP="00D44BF1">
      <w:pPr>
        <w:spacing w:before="20" w:after="20"/>
        <w:rPr>
          <w:rFonts w:ascii="Calibri" w:hAnsi="Calibri"/>
          <w:sz w:val="20"/>
          <w:szCs w:val="20"/>
        </w:rPr>
      </w:pPr>
      <w:r w:rsidRPr="00EE25D1">
        <w:rPr>
          <w:rStyle w:val="Refdenotaalpie"/>
          <w:rFonts w:ascii="Calibri" w:hAnsi="Calibri"/>
          <w:sz w:val="20"/>
          <w:szCs w:val="20"/>
        </w:rPr>
        <w:footnoteRef/>
      </w:r>
      <w:r w:rsidRPr="00EE25D1">
        <w:rPr>
          <w:rFonts w:ascii="Calibri" w:hAnsi="Calibri"/>
          <w:sz w:val="20"/>
          <w:szCs w:val="20"/>
        </w:rPr>
        <w:t xml:space="preserve"> Aboga por esta posibilidad </w:t>
      </w:r>
      <w:r w:rsidRPr="00EE25D1">
        <w:rPr>
          <w:rFonts w:ascii="Calibri" w:hAnsi="Calibri"/>
          <w:smallCaps/>
          <w:sz w:val="20"/>
          <w:szCs w:val="20"/>
        </w:rPr>
        <w:t>Nieto Alonso</w:t>
      </w:r>
      <w:r w:rsidRPr="00EE25D1">
        <w:rPr>
          <w:rFonts w:ascii="Calibri" w:hAnsi="Calibri"/>
          <w:sz w:val="20"/>
          <w:szCs w:val="20"/>
        </w:rPr>
        <w:t xml:space="preserve">, Antonia, «Artículo 1330», en AA.VV., </w:t>
      </w:r>
      <w:r w:rsidRPr="00EE25D1">
        <w:rPr>
          <w:rFonts w:ascii="Calibri" w:hAnsi="Calibri"/>
          <w:i/>
          <w:sz w:val="20"/>
          <w:szCs w:val="20"/>
        </w:rPr>
        <w:t xml:space="preserve">Comentario articulado a la reforma civil y procesal en materia de discapacidad, </w:t>
      </w:r>
      <w:r w:rsidRPr="00EE25D1">
        <w:rPr>
          <w:rFonts w:ascii="Calibri" w:hAnsi="Calibri"/>
          <w:sz w:val="20"/>
          <w:szCs w:val="20"/>
        </w:rPr>
        <w:t>Civitas, Pamplona, 2022, p. 686</w:t>
      </w:r>
    </w:p>
  </w:footnote>
  <w:footnote w:id="3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Que en el testamento adquiera relevancia el elemento patrimonial no quiere decir que el personal brille por su ausencia, al socaire de que, conforme al contenido atípico del testamento, es posible que el testamento contenga disposiciones totalmente ajenas a la disposición patrimonial, como el reconocimiento de un hijo no matrimonial (art. 120.2º CC), a pesar de la incompleta definición que luce en el artículo 667 del Código Civil [para un mayor análisis puede verse </w:t>
      </w:r>
      <w:r w:rsidRPr="00EE25D1">
        <w:rPr>
          <w:rFonts w:ascii="Calibri" w:hAnsi="Calibri"/>
          <w:smallCaps/>
        </w:rPr>
        <w:t>Gómez Valenzuela</w:t>
      </w:r>
      <w:r w:rsidRPr="00EE25D1">
        <w:rPr>
          <w:rFonts w:ascii="Calibri" w:hAnsi="Calibri"/>
        </w:rPr>
        <w:t xml:space="preserve">, Manuel Ángel, «Problemática de testar mediante medios digitales en tiempos de epidemia: análisis, de lege lata y de lege ferenda, de la modernización de las formas testamentarias», en AA.VV., </w:t>
      </w:r>
      <w:r w:rsidRPr="00EE25D1">
        <w:rPr>
          <w:rFonts w:ascii="Calibri" w:hAnsi="Calibri"/>
          <w:i/>
        </w:rPr>
        <w:t>Declaración de voluntad en un entorno virtual</w:t>
      </w:r>
      <w:r w:rsidRPr="00EE25D1">
        <w:rPr>
          <w:rFonts w:ascii="Calibri" w:hAnsi="Calibri"/>
        </w:rPr>
        <w:t xml:space="preserve">, Aranzadi, Pamplona, 2021, pp. 268 y 269]. Y a la inversa, aunque el matrimonio conlleve la asunción por los cónyuges de unos deberes de carácter personal, el elemento patrimonial también está presente, siendo imposible la existencia de un matrimonio sin régimen económico. </w:t>
      </w:r>
    </w:p>
  </w:footnote>
  <w:footnote w:id="32">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Prueba de ello es que ni la Ley del Notariado de 28 de mayo de 1862 (LN) ni el el Decreto de 2 de junio de 1944 por el que se aprueba con carácter definitivo el Reglamento de la organización y régimen del Notariado (RN), han sido objeto de adaptación por la LAPCD, contemplando, entre las funciones del Notario, la de apoyar a la persona con discapacidad para comprender el alcance de sus disposiciones. Es cierto que el último párrafo del artículo 25 LN contempla la posibilidad, a fin de garantizar la accesibilidad de las personas con discapacidad, que el Notario utilice apoyos y realice los ajustes razonables, pero, como se infiere del tenor literal del precepto, dicho apoyo se ciñe a las personas que, por una discapacidad sensorial o física, tengan problemas en los canales de exteriorización de la voluntad, no para formarla.</w:t>
      </w:r>
    </w:p>
  </w:footnote>
  <w:footnote w:id="3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Expone </w:t>
      </w:r>
      <w:r w:rsidRPr="00EE25D1">
        <w:rPr>
          <w:rFonts w:ascii="Calibri" w:hAnsi="Calibri"/>
          <w:smallCaps/>
        </w:rPr>
        <w:t>Álvarez Lata</w:t>
      </w:r>
      <w:r w:rsidRPr="00EE25D1">
        <w:rPr>
          <w:rFonts w:ascii="Calibri" w:hAnsi="Calibri"/>
        </w:rPr>
        <w:t xml:space="preserve">, Natalia, «Artículos 249 al 253», en AA.VV., </w:t>
      </w:r>
      <w:r w:rsidRPr="00EE25D1">
        <w:rPr>
          <w:rFonts w:ascii="Calibri" w:hAnsi="Calibri"/>
          <w:i/>
        </w:rPr>
        <w:t xml:space="preserve">Comentarios al Código Civil, </w:t>
      </w:r>
      <w:r w:rsidRPr="00EE25D1">
        <w:rPr>
          <w:rFonts w:ascii="Calibri" w:hAnsi="Calibri"/>
        </w:rPr>
        <w:t>Aranzadi, Pamplona, 2021, p. 478, que la medida de apoyo provisional prevista en el artículo 253 del Código Civil está ideada, además de para situaciones de internamiento de la persona con discapacidad, en relación a la “</w:t>
      </w:r>
      <w:r w:rsidRPr="00EE25D1">
        <w:rPr>
          <w:rFonts w:ascii="Calibri" w:hAnsi="Calibri"/>
          <w:i/>
        </w:rPr>
        <w:t>asistencia puntual</w:t>
      </w:r>
      <w:r w:rsidRPr="00EE25D1">
        <w:rPr>
          <w:rFonts w:ascii="Calibri" w:hAnsi="Calibri"/>
        </w:rPr>
        <w:t xml:space="preserve"> para prestación de consentimiento médico u otra </w:t>
      </w:r>
      <w:r w:rsidRPr="00EE25D1">
        <w:rPr>
          <w:rFonts w:ascii="Calibri" w:hAnsi="Calibri"/>
          <w:i/>
        </w:rPr>
        <w:t>situación de urgencia patrimonial o personal</w:t>
      </w:r>
      <w:r w:rsidRPr="00EE25D1">
        <w:rPr>
          <w:rFonts w:ascii="Calibri" w:hAnsi="Calibri"/>
        </w:rPr>
        <w:t xml:space="preserve"> que precise de la intervención de una medida de apoyo que no existe de hecho” (cursiva nuestra). </w:t>
      </w:r>
    </w:p>
  </w:footnote>
  <w:footnote w:id="34">
    <w:p w:rsidR="00176949" w:rsidRPr="00EE25D1" w:rsidRDefault="00176949" w:rsidP="00D44BF1">
      <w:pPr>
        <w:pStyle w:val="Textonotapie"/>
        <w:spacing w:before="20" w:after="20" w:line="276" w:lineRule="auto"/>
        <w:rPr>
          <w:rFonts w:ascii="Calibri" w:hAnsi="Calibri"/>
          <w:highlight w:val="yellow"/>
        </w:rPr>
      </w:pPr>
      <w:r w:rsidRPr="00EE25D1">
        <w:rPr>
          <w:rStyle w:val="Refdenotaalpie"/>
          <w:rFonts w:ascii="Calibri" w:hAnsi="Calibri"/>
        </w:rPr>
        <w:footnoteRef/>
      </w:r>
      <w:r w:rsidRPr="00EE25D1">
        <w:rPr>
          <w:rFonts w:ascii="Calibri" w:hAnsi="Calibri"/>
        </w:rPr>
        <w:t xml:space="preserve"> No compartimos la óptica de </w:t>
      </w:r>
      <w:r w:rsidRPr="00EE25D1">
        <w:rPr>
          <w:rFonts w:ascii="Calibri" w:hAnsi="Calibri"/>
          <w:smallCaps/>
        </w:rPr>
        <w:t>Sánchez Gómez</w:t>
      </w:r>
      <w:r w:rsidRPr="00EE25D1">
        <w:rPr>
          <w:rFonts w:ascii="Calibri" w:hAnsi="Calibri"/>
        </w:rPr>
        <w:t xml:space="preserve">, Amelia, «El matrimonio de las personas con discapacidad: reflexiones críticas sobre las últimas reformas del artículo 56.2º. del Código Civil », </w:t>
      </w:r>
      <w:r w:rsidRPr="00EE25D1">
        <w:rPr>
          <w:rFonts w:ascii="Calibri" w:hAnsi="Calibri"/>
          <w:i/>
        </w:rPr>
        <w:t>Revista de Derecho Privado</w:t>
      </w:r>
      <w:r w:rsidRPr="00EE25D1">
        <w:rPr>
          <w:rFonts w:ascii="Calibri" w:hAnsi="Calibri"/>
        </w:rPr>
        <w:t xml:space="preserve">, núm. 1 (2020), p. 54, respecto a que el dictamen médico opera como un control inicial de capacidad. A nuestro juicio, valorando la presunción de que todos los sujetos tienen facultades para conformar su voluntad, con independencia de la discapacidad, el encargado durante la tramitación deberá comprobar personalmente si el contrayente aquejado de una discapacidad psíquica, mental o intelectual tiene aptitud para prestar el consentimiento matrimonial, articulando al efecto todas las medidas de apoyo que sean necesarias; si, practicadas las diligencias pertinentes, el encargado llega a la convicción de que el contrayente no tiene la aptitud necesaria para casarse, será entonces cuando tendrá que solicitar el dictamen médico. Si se vindicara la procedencia del dictamen </w:t>
      </w:r>
      <w:r w:rsidRPr="00EE25D1">
        <w:rPr>
          <w:rFonts w:ascii="Calibri" w:hAnsi="Calibri"/>
          <w:i/>
        </w:rPr>
        <w:t>ab initio</w:t>
      </w:r>
      <w:r w:rsidRPr="00EE25D1">
        <w:rPr>
          <w:rFonts w:ascii="Calibri" w:hAnsi="Calibri"/>
        </w:rPr>
        <w:t xml:space="preserve"> del expediente, como si de una suerte de automatismo se tratara, estaríamos adhiriéndonos a aquellos planteamientos consistentes en presumir que las personas con discapacidad no tienen las suficientes facultades intelectivas y volitivas para operar en el mundo jurídico.  </w:t>
      </w:r>
    </w:p>
  </w:footnote>
  <w:footnote w:id="35">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De Verda y Beamonte</w:t>
      </w:r>
      <w:r w:rsidRPr="00EE25D1">
        <w:rPr>
          <w:rFonts w:ascii="Calibri" w:hAnsi="Calibri"/>
        </w:rPr>
        <w:t>, José Ramón, «Capacidad para contraer matrimonio de las personas con discapacidad», cit., p. 710.</w:t>
      </w:r>
    </w:p>
  </w:footnote>
  <w:footnote w:id="36">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El propio centro directivo, en las RRDGRN 19 octubre 2011 y 18 julio 2013, ha zanjado que no podrá denegarse la autorización del matrimonio merced de una presunta falta capacidad de los contrayentes sin el dictamen médico preceptivo, llegando a ordenar incluso la retroacción del expediente para la emisión del mismo.  </w:t>
      </w:r>
    </w:p>
  </w:footnote>
  <w:footnote w:id="3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SSTS 8 noviembre 2017 (RJ 2017, 4760) y 15 marzo 2018 (RJ 2018, 1478).</w:t>
      </w:r>
    </w:p>
  </w:footnote>
  <w:footnote w:id="3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Berrocal Lanzarot</w:t>
      </w:r>
      <w:r w:rsidRPr="00EE25D1">
        <w:rPr>
          <w:rFonts w:ascii="Calibri" w:hAnsi="Calibri"/>
        </w:rPr>
        <w:t xml:space="preserve">, Ana Isabel, «Protección jurídica de la persona con la capacidad modificada judicialmente. El matrimonio», op. cit., p. 3305. </w:t>
      </w:r>
    </w:p>
  </w:footnote>
  <w:footnote w:id="3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Díez Picazo</w:t>
      </w:r>
      <w:r w:rsidRPr="00EE25D1">
        <w:rPr>
          <w:rFonts w:ascii="Calibri" w:hAnsi="Calibri"/>
        </w:rPr>
        <w:t xml:space="preserve">, Luis, «El negocio jurídico del Derecho de familia», </w:t>
      </w:r>
      <w:r w:rsidRPr="00EE25D1">
        <w:rPr>
          <w:rFonts w:ascii="Calibri" w:hAnsi="Calibri"/>
          <w:i/>
        </w:rPr>
        <w:t>Revista General de Legislación y Jurisprudencia</w:t>
      </w:r>
      <w:r w:rsidRPr="00EE25D1">
        <w:rPr>
          <w:rFonts w:ascii="Calibri" w:hAnsi="Calibri"/>
        </w:rPr>
        <w:t xml:space="preserve">, núm. 6 (1962), pp. 783 y 784; </w:t>
      </w:r>
      <w:r w:rsidRPr="00EE25D1">
        <w:rPr>
          <w:rFonts w:ascii="Calibri" w:hAnsi="Calibri"/>
          <w:smallCaps/>
        </w:rPr>
        <w:t>Lacruz Berdejo</w:t>
      </w:r>
      <w:r w:rsidR="00CA2BA9">
        <w:rPr>
          <w:rFonts w:ascii="Calibri" w:hAnsi="Calibri"/>
        </w:rPr>
        <w:t>, José</w:t>
      </w:r>
      <w:r w:rsidRPr="00EE25D1">
        <w:rPr>
          <w:rFonts w:ascii="Calibri" w:hAnsi="Calibri"/>
        </w:rPr>
        <w:t xml:space="preserve"> Luis, </w:t>
      </w:r>
      <w:r w:rsidRPr="00EE25D1">
        <w:rPr>
          <w:rFonts w:ascii="Calibri" w:hAnsi="Calibri"/>
          <w:i/>
        </w:rPr>
        <w:t>Derecho de Familia. El matrimonio y su economía</w:t>
      </w:r>
      <w:r w:rsidRPr="00EE25D1">
        <w:rPr>
          <w:rFonts w:ascii="Calibri" w:hAnsi="Calibri"/>
        </w:rPr>
        <w:t>, op. cit., p. 278;</w:t>
      </w:r>
      <w:r w:rsidRPr="00EE25D1">
        <w:rPr>
          <w:rFonts w:ascii="Calibri" w:hAnsi="Calibri"/>
          <w:i/>
        </w:rPr>
        <w:t xml:space="preserve"> </w:t>
      </w:r>
      <w:r w:rsidRPr="00EE25D1">
        <w:rPr>
          <w:rFonts w:ascii="Calibri" w:hAnsi="Calibri"/>
          <w:smallCaps/>
        </w:rPr>
        <w:t>Lete del Rio</w:t>
      </w:r>
      <w:r w:rsidRPr="00EE25D1">
        <w:rPr>
          <w:rFonts w:ascii="Calibri" w:hAnsi="Calibri"/>
        </w:rPr>
        <w:t xml:space="preserve">, José Manuel, «Sujetos de las capitulaciones matrimoniales», </w:t>
      </w:r>
      <w:r w:rsidRPr="00EE25D1">
        <w:rPr>
          <w:rFonts w:ascii="Calibri" w:hAnsi="Calibri"/>
          <w:i/>
        </w:rPr>
        <w:t>Anuario de Derecho Civil</w:t>
      </w:r>
      <w:r w:rsidRPr="00EE25D1">
        <w:rPr>
          <w:rFonts w:ascii="Calibri" w:hAnsi="Calibri"/>
        </w:rPr>
        <w:t xml:space="preserve">, t. XXXVI (1983), pp. 397-420; </w:t>
      </w:r>
      <w:r w:rsidRPr="00EE25D1">
        <w:rPr>
          <w:rFonts w:ascii="Calibri" w:hAnsi="Calibri"/>
          <w:smallCaps/>
        </w:rPr>
        <w:t>Amorós Guardiola</w:t>
      </w:r>
      <w:r w:rsidRPr="00EE25D1">
        <w:rPr>
          <w:rFonts w:ascii="Calibri" w:hAnsi="Calibri"/>
        </w:rPr>
        <w:t xml:space="preserve">, Manuel, «De las capitulaciones matrimoniales», en AA.VV., </w:t>
      </w:r>
      <w:r w:rsidRPr="00EE25D1">
        <w:rPr>
          <w:rFonts w:ascii="Calibri" w:hAnsi="Calibri"/>
          <w:i/>
        </w:rPr>
        <w:t>Comentarios a las reformas del Derecho de familia</w:t>
      </w:r>
      <w:r w:rsidRPr="00EE25D1">
        <w:rPr>
          <w:rFonts w:ascii="Calibri" w:hAnsi="Calibri"/>
        </w:rPr>
        <w:t xml:space="preserve">, vol. II, Tecnos, Madrid, 1984, p. 1553; Sánchez Gómez, Amelia, «Capacitad capitular de las personas con discapacidad psíquica o intelectual», </w:t>
      </w:r>
      <w:r w:rsidRPr="00EE25D1">
        <w:rPr>
          <w:rFonts w:ascii="Calibri" w:hAnsi="Calibri"/>
          <w:i/>
        </w:rPr>
        <w:t>Revista de Derecho Privado</w:t>
      </w:r>
      <w:r w:rsidRPr="00EE25D1">
        <w:rPr>
          <w:rFonts w:ascii="Calibri" w:hAnsi="Calibri"/>
        </w:rPr>
        <w:t xml:space="preserve">, núm. 6 (2020), pp. 45 y 46; </w:t>
      </w:r>
      <w:r w:rsidRPr="00EE25D1">
        <w:rPr>
          <w:rFonts w:ascii="Calibri" w:hAnsi="Calibri"/>
          <w:smallCaps/>
        </w:rPr>
        <w:t>O´Callaghan Muñoz</w:t>
      </w:r>
      <w:r w:rsidRPr="00EE25D1">
        <w:rPr>
          <w:rFonts w:ascii="Calibri" w:hAnsi="Calibri"/>
        </w:rPr>
        <w:t xml:space="preserve">, Xavier, </w:t>
      </w:r>
      <w:r w:rsidRPr="00EE25D1">
        <w:rPr>
          <w:rFonts w:ascii="Calibri" w:hAnsi="Calibri"/>
          <w:i/>
        </w:rPr>
        <w:t xml:space="preserve">Compendio de Derecho Civil, t. IV, Derecho de la familia, </w:t>
      </w:r>
      <w:r w:rsidRPr="00EE25D1">
        <w:rPr>
          <w:rFonts w:ascii="Calibri" w:hAnsi="Calibri"/>
        </w:rPr>
        <w:t>op</w:t>
      </w:r>
      <w:r w:rsidRPr="00EE25D1">
        <w:rPr>
          <w:rFonts w:ascii="Calibri" w:hAnsi="Calibri"/>
          <w:i/>
        </w:rPr>
        <w:t xml:space="preserve">. </w:t>
      </w:r>
      <w:r w:rsidRPr="00EE25D1">
        <w:rPr>
          <w:rFonts w:ascii="Calibri" w:hAnsi="Calibri"/>
        </w:rPr>
        <w:t>cit.,</w:t>
      </w:r>
      <w:r w:rsidRPr="00EE25D1">
        <w:rPr>
          <w:rFonts w:ascii="Calibri" w:hAnsi="Calibri"/>
          <w:i/>
        </w:rPr>
        <w:t xml:space="preserve"> </w:t>
      </w:r>
      <w:r w:rsidRPr="00EE25D1">
        <w:rPr>
          <w:rFonts w:ascii="Calibri" w:hAnsi="Calibri"/>
        </w:rPr>
        <w:t>p. 115.</w:t>
      </w:r>
    </w:p>
  </w:footnote>
  <w:footnote w:id="40">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Que parte de la arquitectura legal de las capitulaciones matrimoniales sea la equivalente a la de los contratos no quiere decir que la naturaleza jurídica del pacto capitular sea contractual, a pesar de que inveterada doctrina, representada por </w:t>
      </w:r>
      <w:r w:rsidRPr="00EE25D1">
        <w:rPr>
          <w:rFonts w:ascii="Calibri" w:hAnsi="Calibri"/>
          <w:smallCaps/>
        </w:rPr>
        <w:t>Lacruz Berdejo</w:t>
      </w:r>
      <w:r w:rsidR="00CA2BA9">
        <w:rPr>
          <w:rFonts w:ascii="Calibri" w:hAnsi="Calibri"/>
        </w:rPr>
        <w:t>, José</w:t>
      </w:r>
      <w:r w:rsidRPr="00EE25D1">
        <w:rPr>
          <w:rFonts w:ascii="Calibri" w:hAnsi="Calibri"/>
        </w:rPr>
        <w:t xml:space="preserve"> Luis, </w:t>
      </w:r>
      <w:r w:rsidRPr="00EE25D1">
        <w:rPr>
          <w:rFonts w:ascii="Calibri" w:hAnsi="Calibri"/>
          <w:i/>
        </w:rPr>
        <w:t>Derecho de Familia. El matrimonio y su economía</w:t>
      </w:r>
      <w:r w:rsidRPr="00EE25D1">
        <w:rPr>
          <w:rFonts w:ascii="Calibri" w:hAnsi="Calibri"/>
        </w:rPr>
        <w:t>, op. cit., pp. 271 y 272 (</w:t>
      </w:r>
      <w:r w:rsidRPr="00EE25D1">
        <w:rPr>
          <w:rFonts w:ascii="Calibri" w:hAnsi="Calibri"/>
          <w:i/>
        </w:rPr>
        <w:t>vid</w:t>
      </w:r>
      <w:r w:rsidRPr="00EE25D1">
        <w:rPr>
          <w:rFonts w:ascii="Calibri" w:hAnsi="Calibri"/>
        </w:rPr>
        <w:t xml:space="preserve">. además, </w:t>
      </w:r>
      <w:r w:rsidRPr="00EE25D1">
        <w:rPr>
          <w:rFonts w:ascii="Calibri" w:hAnsi="Calibri"/>
          <w:smallCaps/>
        </w:rPr>
        <w:t>Lasarte Álvarez</w:t>
      </w:r>
      <w:r w:rsidRPr="00EE25D1">
        <w:rPr>
          <w:rFonts w:ascii="Calibri" w:hAnsi="Calibri"/>
        </w:rPr>
        <w:t xml:space="preserve">, Carlos, </w:t>
      </w:r>
      <w:r w:rsidRPr="00EE25D1">
        <w:rPr>
          <w:rFonts w:ascii="Calibri" w:hAnsi="Calibri"/>
          <w:i/>
        </w:rPr>
        <w:t>Derecho de Familia, Principios de Derecho Civil, t. VI</w:t>
      </w:r>
      <w:r w:rsidRPr="00EE25D1">
        <w:rPr>
          <w:rFonts w:ascii="Calibri" w:hAnsi="Calibri"/>
        </w:rPr>
        <w:t>, op. cit., 154), así lo hayan concebido. Se podría decir que todo dependerá del concepto que tengamos de contrato, pues si se entendiera que es un negocio jurídico patrimonial que consiste en un intercambio de bienes o servicios difícilmente se podría argüir que las capitulaciones matrimoniales tienen naturaleza contractual, sin embargo, si se concibiera el contrato como un negocio jurídico con sustantividad patrimonial el pacto capitular podría encajar en dicho concepto. En nuestra opinión, como quiera que las capitulaciones matrimoniales es un negocio complejo capaz de abarcar actos jurídicos familiares, como el reconocimiento de la filiación, o disposiciones genuinamente testamentarias, como la promesa de mejorar a uno de los hijos comunes, lo más loable será identificar el pacto capitular como un negocio jurídico de Derecho de familia (</w:t>
      </w:r>
      <w:r w:rsidRPr="00EE25D1">
        <w:rPr>
          <w:rFonts w:ascii="Calibri" w:hAnsi="Calibri"/>
          <w:smallCaps/>
        </w:rPr>
        <w:t>O´Callaghan Muñoz</w:t>
      </w:r>
      <w:r w:rsidRPr="00EE25D1">
        <w:rPr>
          <w:rFonts w:ascii="Calibri" w:hAnsi="Calibri"/>
        </w:rPr>
        <w:t xml:space="preserve">, Xavier, </w:t>
      </w:r>
      <w:r w:rsidRPr="00EE25D1">
        <w:rPr>
          <w:rFonts w:ascii="Calibri" w:hAnsi="Calibri"/>
          <w:i/>
        </w:rPr>
        <w:t xml:space="preserve">Compendio de Derecho Civil, t. IV, Derecho de la familia, </w:t>
      </w:r>
      <w:r w:rsidRPr="00EE25D1">
        <w:rPr>
          <w:rFonts w:ascii="Calibri" w:hAnsi="Calibri"/>
        </w:rPr>
        <w:t>op.</w:t>
      </w:r>
      <w:r w:rsidRPr="00EE25D1">
        <w:rPr>
          <w:rFonts w:ascii="Calibri" w:hAnsi="Calibri"/>
          <w:i/>
        </w:rPr>
        <w:t xml:space="preserve"> </w:t>
      </w:r>
      <w:r w:rsidRPr="00EE25D1">
        <w:rPr>
          <w:rFonts w:ascii="Calibri" w:hAnsi="Calibri"/>
        </w:rPr>
        <w:t xml:space="preserve">cit., p. 114), a fin de evitar caer en el reduccionismo de identificarlo con un contrato con todas las consecuencias que ello podría traer consigo. </w:t>
      </w:r>
    </w:p>
  </w:footnote>
  <w:footnote w:id="4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Aboga por esta posibilidad </w:t>
      </w:r>
      <w:r w:rsidRPr="00EE25D1">
        <w:rPr>
          <w:rFonts w:ascii="Calibri" w:hAnsi="Calibri"/>
          <w:smallCaps/>
        </w:rPr>
        <w:t>Nieto Alonso</w:t>
      </w:r>
      <w:r w:rsidRPr="00EE25D1">
        <w:rPr>
          <w:rFonts w:ascii="Calibri" w:hAnsi="Calibri"/>
        </w:rPr>
        <w:t>, Antonia, “Artículo 1330”, op. cit., pp. 689 y 690.</w:t>
      </w:r>
    </w:p>
  </w:footnote>
  <w:footnote w:id="42">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Se podría rebatir esta afirmación diciendo que el apoyo institucionalizado del Notario no tiene por qué concurrir en el testamento cerrado o en el ológrafo, pero ello encierra una falacia, ya que el testamento abierto es la modalidad testamentaria a la que más recurren los testadores.  </w:t>
      </w:r>
    </w:p>
  </w:footnote>
  <w:footnote w:id="4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No ocurría lo mismo para la administración y disposición de los bienes gananciales </w:t>
      </w:r>
      <w:r w:rsidRPr="00EE25D1">
        <w:rPr>
          <w:rFonts w:ascii="Calibri" w:hAnsi="Calibri"/>
          <w:i/>
        </w:rPr>
        <w:t>ex</w:t>
      </w:r>
      <w:r w:rsidRPr="00EE25D1">
        <w:rPr>
          <w:rFonts w:ascii="Calibri" w:hAnsi="Calibri"/>
        </w:rPr>
        <w:t xml:space="preserve"> artículo 1387 del Código Civil, pues, como dice </w:t>
      </w:r>
      <w:r w:rsidRPr="00EE25D1">
        <w:rPr>
          <w:rFonts w:ascii="Calibri" w:hAnsi="Calibri"/>
          <w:smallCaps/>
        </w:rPr>
        <w:t>Lasarte Álvarez</w:t>
      </w:r>
      <w:r w:rsidRPr="00EE25D1">
        <w:rPr>
          <w:rFonts w:ascii="Calibri" w:hAnsi="Calibri"/>
        </w:rPr>
        <w:t xml:space="preserve">, Carlos, </w:t>
      </w:r>
      <w:r w:rsidRPr="00EE25D1">
        <w:rPr>
          <w:rFonts w:ascii="Calibri" w:hAnsi="Calibri"/>
          <w:i/>
        </w:rPr>
        <w:t>Derecho de Familia, Principios de Derecho Civil, t. VI</w:t>
      </w:r>
      <w:r w:rsidRPr="00EE25D1">
        <w:rPr>
          <w:rFonts w:ascii="Calibri" w:hAnsi="Calibri"/>
        </w:rPr>
        <w:t xml:space="preserve">, op. cit., p. 201, si al cónyuge incapacitado se le nombraba un tutor distinto o se designaba al consorte tutor de la persona pero no de los bienes, no se transfería </w:t>
      </w:r>
      <w:r w:rsidRPr="00EE25D1">
        <w:rPr>
          <w:rFonts w:ascii="Calibri" w:hAnsi="Calibri"/>
          <w:i/>
        </w:rPr>
        <w:t>ope legis</w:t>
      </w:r>
      <w:r w:rsidRPr="00EE25D1">
        <w:rPr>
          <w:rFonts w:ascii="Calibri" w:hAnsi="Calibri"/>
        </w:rPr>
        <w:t xml:space="preserve"> las facultades de administración y disposición (aunque el autor, conforme a la edición publicada después de la entrada en vigor de la LAPCD, diga “tutor” debe entenderse “curador”).</w:t>
      </w:r>
    </w:p>
  </w:footnote>
  <w:footnote w:id="44">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Adelantamos que la idea de la representación general no es un planteamiento que sea acreedor de un consenso en el seno de la doctrina, pudiendo citarse, </w:t>
      </w:r>
      <w:r w:rsidRPr="00EE25D1">
        <w:rPr>
          <w:rFonts w:ascii="Calibri" w:hAnsi="Calibri"/>
          <w:i/>
        </w:rPr>
        <w:t>ad exemplum</w:t>
      </w:r>
      <w:r w:rsidRPr="00EE25D1">
        <w:rPr>
          <w:rFonts w:ascii="Calibri" w:hAnsi="Calibri"/>
        </w:rPr>
        <w:t xml:space="preserve">, a </w:t>
      </w:r>
      <w:r w:rsidRPr="00EE25D1">
        <w:rPr>
          <w:rFonts w:ascii="Calibri" w:hAnsi="Calibri"/>
          <w:smallCaps/>
        </w:rPr>
        <w:t>Toral Lara</w:t>
      </w:r>
      <w:r w:rsidRPr="00EE25D1">
        <w:rPr>
          <w:rFonts w:ascii="Calibri" w:hAnsi="Calibri"/>
        </w:rPr>
        <w:t>, Estrella, «Las medidas de apoyo judiciales e informales en el nuevo sistema de provisión de apoyos del Código Civil», op. cit., 158, que arguye que “no existe habilitación para conferir al curador una legitimación de orden general que abarque el conjunto de actos de la vida civil del necesitado de apoyo”.</w:t>
      </w:r>
    </w:p>
  </w:footnote>
  <w:footnote w:id="45">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En opinión de </w:t>
      </w:r>
      <w:r w:rsidRPr="00EE25D1">
        <w:rPr>
          <w:rFonts w:ascii="Calibri" w:hAnsi="Calibri"/>
          <w:smallCaps/>
        </w:rPr>
        <w:t>Barba</w:t>
      </w:r>
      <w:r w:rsidRPr="00EE25D1">
        <w:rPr>
          <w:rFonts w:ascii="Calibri" w:hAnsi="Calibri"/>
        </w:rPr>
        <w:t xml:space="preserve">, Vincenzo, «Principios generales de las medidas de apoyo en el marco de la convención de Nueva York», op. cit., p. 88, </w:t>
      </w:r>
      <w:r w:rsidRPr="00EE25D1">
        <w:rPr>
          <w:rFonts w:ascii="Calibri" w:hAnsi="Calibri"/>
          <w:color w:val="000000" w:themeColor="text1"/>
          <w:shd w:val="clear" w:color="auto" w:fill="FFFFFF"/>
        </w:rPr>
        <w:t xml:space="preserve">“debe considerarse improcedente una medida que indique determinados actos en términos generales y, por tanto, una medida que se refiere a actos de administración extraordinaria, o a actos de enajenación de bienes inmuebles, o a actos de enajenación gratuita”. El autor, con acierto, excluye la posibilidad de que el Juez conceda al apoyo funciones representativas que incidan en los actos previstos en el </w:t>
      </w:r>
      <w:r w:rsidRPr="00EE25D1">
        <w:rPr>
          <w:rFonts w:ascii="Calibri" w:hAnsi="Calibri"/>
        </w:rPr>
        <w:t>artículo</w:t>
      </w:r>
      <w:r w:rsidRPr="00EE25D1">
        <w:rPr>
          <w:rFonts w:ascii="Calibri" w:hAnsi="Calibri"/>
          <w:color w:val="000000" w:themeColor="text1"/>
          <w:shd w:val="clear" w:color="auto" w:fill="FFFFFF"/>
        </w:rPr>
        <w:t xml:space="preserve"> 287 </w:t>
      </w:r>
      <w:r w:rsidRPr="00EE25D1">
        <w:rPr>
          <w:rFonts w:ascii="Calibri" w:hAnsi="Calibri"/>
        </w:rPr>
        <w:t>del Código Civil</w:t>
      </w:r>
      <w:r w:rsidRPr="00EE25D1">
        <w:rPr>
          <w:rFonts w:ascii="Calibri" w:hAnsi="Calibri"/>
          <w:color w:val="000000" w:themeColor="text1"/>
          <w:shd w:val="clear" w:color="auto" w:fill="FFFFFF"/>
        </w:rPr>
        <w:t>, pues la dicción legal prevé que el curador, aunque ejerza funciones representativas, necesitara autorización judicial “en todo caso”.</w:t>
      </w:r>
    </w:p>
  </w:footnote>
  <w:footnote w:id="46">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Ribot Igualada</w:t>
      </w:r>
      <w:r w:rsidRPr="00EE25D1">
        <w:rPr>
          <w:rFonts w:ascii="Calibri" w:hAnsi="Calibri"/>
        </w:rPr>
        <w:t xml:space="preserve">, Jordi, «La nueva curatela», op. cit., p. 225, niega la posibilidad de una curatela representativa general. </w:t>
      </w:r>
    </w:p>
  </w:footnote>
  <w:footnote w:id="4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i/>
        </w:rPr>
        <w:t>Vid</w:t>
      </w:r>
      <w:r w:rsidRPr="00EE25D1">
        <w:rPr>
          <w:rFonts w:ascii="Calibri" w:hAnsi="Calibri"/>
        </w:rPr>
        <w:t xml:space="preserve">. apartado III de la Exposición de Motivos del Anteproyecto: “No obstante, en los casos en los que sea preciso, será posible atribuir al curador funciones representativas, que solo de manera excepcional y ante casos especialmente graves de discapacidad, podrán tener </w:t>
      </w:r>
      <w:r w:rsidRPr="00EE25D1">
        <w:rPr>
          <w:rFonts w:ascii="Calibri" w:hAnsi="Calibri"/>
          <w:i/>
        </w:rPr>
        <w:t>alcance general”</w:t>
      </w:r>
      <w:r w:rsidRPr="00EE25D1">
        <w:rPr>
          <w:rFonts w:ascii="Calibri" w:hAnsi="Calibri"/>
        </w:rPr>
        <w:t>.</w:t>
      </w:r>
    </w:p>
  </w:footnote>
  <w:footnote w:id="4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i/>
        </w:rPr>
        <w:t>Vid</w:t>
      </w:r>
      <w:r w:rsidRPr="00EE25D1">
        <w:rPr>
          <w:rFonts w:ascii="Calibri" w:hAnsi="Calibri"/>
        </w:rPr>
        <w:t>. STS 1 julio 2014 (RJ 2014, 4518).</w:t>
      </w:r>
    </w:p>
  </w:footnote>
  <w:footnote w:id="4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Martínez de Aguirre Aldaz</w:t>
      </w:r>
      <w:r w:rsidRPr="00EE25D1">
        <w:rPr>
          <w:rFonts w:ascii="Calibri" w:hAnsi="Calibri"/>
        </w:rPr>
        <w:t xml:space="preserve">, Carlos, «Curatela y representación: cinco tesis heterodoxas y un estrambote», op. cit., p. 265.  </w:t>
      </w:r>
    </w:p>
  </w:footnote>
  <w:footnote w:id="50">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García Rubio</w:t>
      </w:r>
      <w:r w:rsidRPr="00EE25D1">
        <w:rPr>
          <w:rFonts w:ascii="Calibri" w:hAnsi="Calibri"/>
        </w:rPr>
        <w:t xml:space="preserve">, María Paz, «La reforma operada por la Ley 8/2021 en materia de apoyo a las personas con discapacidad: planteamiento general de sus aspectos civiles», op. cit., p. 64. </w:t>
      </w:r>
    </w:p>
  </w:footnote>
  <w:footnote w:id="5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No obstante, el artículo 268 del Código Civil, según la redacción vigente antes de la entrada en vigor de la LAPCD, ponía en valor el pasado del pupilo en el ejercicio de la tutela, disponiendo que los tutores ejercerían su cargo de acuerdo con la personalidad de aquellos. </w:t>
      </w:r>
    </w:p>
  </w:footnote>
  <w:footnote w:id="52">
    <w:p w:rsidR="00176949" w:rsidRPr="00EE25D1" w:rsidRDefault="00176949" w:rsidP="00D44BF1">
      <w:pPr>
        <w:pStyle w:val="Textonotapie"/>
        <w:spacing w:before="20" w:after="20" w:line="276" w:lineRule="auto"/>
        <w:rPr>
          <w:rFonts w:ascii="Calibri" w:hAnsi="Calibri"/>
          <w:highlight w:val="yellow"/>
        </w:rPr>
      </w:pPr>
      <w:r w:rsidRPr="00EE25D1">
        <w:rPr>
          <w:rStyle w:val="Refdenotaalpie"/>
          <w:rFonts w:ascii="Calibri" w:hAnsi="Calibri"/>
        </w:rPr>
        <w:footnoteRef/>
      </w:r>
      <w:r w:rsidRPr="00EE25D1">
        <w:rPr>
          <w:rFonts w:ascii="Calibri" w:hAnsi="Calibri"/>
        </w:rPr>
        <w:t xml:space="preserve"> La Observación General Primera parece que desconoce los variados matices de la realidad al decir lo que sigue: “Cuando pese a haberse hecho un esfuerzo considerable determinar la voluntad y las preferencias de una persona, la determinación del “el interés superior” debe ser sustituida por la “mejor interpretación posible de la voluntad y las preferencias”. Ello respeta los derechos, la voluntad y las preferencias de la persona, de conformidad con el artículo 12, párrafo 4. El principio del “interés superior” no es una salvaguarda que cumpla con el artículo 12 en relación con los adultos. El paradigma de “la voluntad y las preferencias” debe reemplazar al del “interés superior” para que las personas con discapacidad disfruten del derecho a la capacidad jurídica en condiciones de igualdad”. La citada Observación parece que desconoce que ciertas personas desde su nacimiento no presentan las aptitudes cognitivas e intelectivas suficientes para formar un deseo y preferencia, careciendo de una trayectoria vital ligada a la autonomía de la voluntad. En estos casos, tal y como sostiene </w:t>
      </w:r>
      <w:r w:rsidRPr="00EE25D1">
        <w:rPr>
          <w:rFonts w:ascii="Calibri" w:hAnsi="Calibri"/>
          <w:smallCaps/>
        </w:rPr>
        <w:t>Castán Pérez-Gómez</w:t>
      </w:r>
      <w:r w:rsidRPr="00EE25D1">
        <w:rPr>
          <w:rFonts w:ascii="Calibri" w:hAnsi="Calibri"/>
        </w:rPr>
        <w:t xml:space="preserve">, Santiago, «La curatela: ¿una nueva institución?», en AA.VV., </w:t>
      </w:r>
      <w:r w:rsidRPr="00EE25D1">
        <w:rPr>
          <w:rFonts w:ascii="Calibri" w:hAnsi="Calibri"/>
          <w:i/>
        </w:rPr>
        <w:t>El ejercicio de la capacidad jurídica por las personas con discapacidad tras la Ley 8/2021, de 2 de junio</w:t>
      </w:r>
      <w:r w:rsidRPr="00EE25D1">
        <w:rPr>
          <w:rFonts w:ascii="Calibri" w:hAnsi="Calibri"/>
        </w:rPr>
        <w:t xml:space="preserve">, Tirant lo Blanch, Valencia, 2022, p. 225, debe contarse con un criterio objetivo tendente a la protección de los intereses personales y patrimoniales de la persona con discapacidad. </w:t>
      </w:r>
      <w:r w:rsidRPr="00EE25D1">
        <w:rPr>
          <w:rFonts w:ascii="Calibri" w:hAnsi="Calibri"/>
          <w:smallCaps/>
        </w:rPr>
        <w:t>Pau</w:t>
      </w:r>
      <w:r w:rsidRPr="00EE25D1">
        <w:rPr>
          <w:rFonts w:ascii="Calibri" w:hAnsi="Calibri"/>
        </w:rPr>
        <w:t xml:space="preserve">, Antonio, «De la incapacitación al apoyo: el nuevo régimen de la discapacidad intelectual en el Código Civil», </w:t>
      </w:r>
      <w:r w:rsidRPr="00EE25D1">
        <w:rPr>
          <w:rFonts w:ascii="Calibri" w:hAnsi="Calibri"/>
          <w:i/>
        </w:rPr>
        <w:t>Revista de Derecho Civil</w:t>
      </w:r>
      <w:r w:rsidRPr="00EE25D1">
        <w:rPr>
          <w:rFonts w:ascii="Calibri" w:hAnsi="Calibri"/>
        </w:rPr>
        <w:t xml:space="preserve">, vol. V, núm. 3 (2018), p. 9, defiende que cuando la voluntad de la persona con discapacidad no pueda expresarse ni reconstruirse entrará en juego el mejor interés. En la misma senda puede verse </w:t>
      </w:r>
      <w:r w:rsidRPr="00EE25D1">
        <w:rPr>
          <w:rFonts w:ascii="Calibri" w:hAnsi="Calibri"/>
          <w:smallCaps/>
        </w:rPr>
        <w:t>Sánchez Gómez</w:t>
      </w:r>
      <w:r w:rsidRPr="00EE25D1">
        <w:rPr>
          <w:rFonts w:ascii="Calibri" w:hAnsi="Calibri"/>
        </w:rPr>
        <w:t xml:space="preserve">, Amelia, «Reflexiones a propósito del Proyecto de Ley de 17 de julio de 2020 por la que se reforma la legislación civil y procesal para el apoyo a las personas con discapacidad en el ejercicio de su capacidad jurídica», </w:t>
      </w:r>
      <w:r w:rsidRPr="00EE25D1">
        <w:rPr>
          <w:rFonts w:ascii="Calibri" w:hAnsi="Calibri"/>
          <w:i/>
        </w:rPr>
        <w:t>Revista de Derecho Civil</w:t>
      </w:r>
      <w:r w:rsidRPr="00EE25D1">
        <w:rPr>
          <w:rFonts w:ascii="Calibri" w:hAnsi="Calibri"/>
        </w:rPr>
        <w:t xml:space="preserve">, vol. VII, núm. 5 (2020), pp. 419, 420 y 423; </w:t>
      </w:r>
      <w:r w:rsidRPr="00EE25D1">
        <w:rPr>
          <w:rFonts w:ascii="Calibri" w:hAnsi="Calibri"/>
          <w:smallCaps/>
        </w:rPr>
        <w:t>Sánchez Hernández</w:t>
      </w:r>
      <w:r w:rsidRPr="00EE25D1">
        <w:rPr>
          <w:rFonts w:ascii="Calibri" w:hAnsi="Calibri"/>
        </w:rPr>
        <w:t xml:space="preserve">, Ángel, «Aspectos generales de la reforma del Código Civil relativa a las personas con discapacidad intelectual en el ejercicio de su capacidad jurídica», </w:t>
      </w:r>
      <w:r w:rsidRPr="00EE25D1">
        <w:rPr>
          <w:rFonts w:ascii="Calibri" w:hAnsi="Calibri"/>
          <w:i/>
        </w:rPr>
        <w:t>Revista Boliviana de Derecho</w:t>
      </w:r>
      <w:r w:rsidRPr="00EE25D1">
        <w:rPr>
          <w:rFonts w:ascii="Calibri" w:hAnsi="Calibri"/>
        </w:rPr>
        <w:t>, núm. 33 (2020), p. 23.</w:t>
      </w:r>
    </w:p>
  </w:footnote>
  <w:footnote w:id="5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Debe depararse que, conforme al traje a medida, el concepto de curatela es flexible, pudiendo contemplar múltiples posibilidades, pudiéndose combinar, como dice Pereña Vicente, M, «Una contribución a la interpretación del régimen jurídico de las medidas de apoyo en el ejercicio de la capacidad jurídica consagrada en la Ley 8/2021, de 2 de junio», cit., p. 161, funciones de asistencia para unos ámbitos y de representación para otros. Ejemplo de ello es la SAP Navarra 21 octubre 2021 (JUR 2022, 57209), que constituye una curatela asistencial para los actos relacionados con la salud, en especial, en lo relativo a la supervisión de la toma de medicación o la autorización de tratamientos médicos complejos, y con facultades de representación en el ámbito patrimonial. </w:t>
      </w:r>
    </w:p>
  </w:footnote>
  <w:footnote w:id="54">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El legislador, raíz de la LAPCD, emplea la expresión </w:t>
      </w:r>
      <w:r w:rsidRPr="00EE25D1">
        <w:rPr>
          <w:rFonts w:ascii="Calibri" w:hAnsi="Calibri"/>
          <w:i/>
        </w:rPr>
        <w:t>representación plena</w:t>
      </w:r>
      <w:r w:rsidRPr="00EE25D1">
        <w:rPr>
          <w:rFonts w:ascii="Calibri" w:hAnsi="Calibri"/>
        </w:rPr>
        <w:t xml:space="preserve"> en los artículos 22.2 letra c), 120º, 1700.5º  y 1903 del Código Civil.</w:t>
      </w:r>
    </w:p>
  </w:footnote>
  <w:footnote w:id="55">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Pereña Vicente, M, «Una contribución a la interpretación del régimen jurídico de las medidas de apoyo en el ejercicio de la capacidad jurídica consagrada en la Ley 8/2021, de 2 de junio», cit., p. 180.</w:t>
      </w:r>
    </w:p>
  </w:footnote>
  <w:footnote w:id="56">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La cuestión planteada no es baladí, pues en la práctica forense, incluso antes de la entrada en vigor de la LAPCD, no era rara la ocasión de constitución de una curatela mixta, esto es, asistencial en el ámbito personal o médico, y representativa en todo lo relacionado con la gestión del patrimonio [</w:t>
      </w:r>
      <w:r w:rsidRPr="00EE25D1">
        <w:rPr>
          <w:rFonts w:ascii="Calibri" w:hAnsi="Calibri"/>
          <w:i/>
        </w:rPr>
        <w:t>vid</w:t>
      </w:r>
      <w:r w:rsidRPr="00EE25D1">
        <w:rPr>
          <w:rFonts w:ascii="Calibri" w:hAnsi="Calibri"/>
        </w:rPr>
        <w:t>. SAP A Coruña 11 noviembre 2021 (JUR 2022, 48293), SAP Asturias 1 diciembre 2021 (JUR 2022, 67383), SAP Madrid 20 diciembre 2021 (JUR 2022, 65517)].</w:t>
      </w:r>
    </w:p>
  </w:footnote>
  <w:footnote w:id="5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Consideraba Rams Albesa, citado por Castán Tobeñas, J: </w:t>
      </w:r>
      <w:r w:rsidRPr="00EE25D1">
        <w:rPr>
          <w:rFonts w:ascii="Calibri" w:hAnsi="Calibri"/>
          <w:i/>
        </w:rPr>
        <w:t xml:space="preserve">Derecho civil español, común y foral. t. V. Derecho de familia. vol. I. Relaciones conyugales, </w:t>
      </w:r>
      <w:r w:rsidRPr="00EE25D1">
        <w:rPr>
          <w:rFonts w:ascii="Calibri" w:hAnsi="Calibri"/>
        </w:rPr>
        <w:t>cit., 509, que en estos casos donde el cónyuge no era nombrado tutor de su consorte se producía un peligroso vacío en la gestión de los bienes comunes.</w:t>
      </w:r>
    </w:p>
  </w:footnote>
  <w:footnote w:id="5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Si al tratar la representación en el ámbito de la curatela nosotros abogamos porque esta podía ser general en virtud del artículo 269 del Código Civil, mismo planteamiento cabe vindicar en el contexto de la guarda de hecho, máxime cuando el artículo 265 avala que la representación comprenda “uno o varios actos”. </w:t>
      </w:r>
    </w:p>
  </w:footnote>
  <w:footnote w:id="5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i/>
        </w:rPr>
        <w:t>Ad abundantiam</w:t>
      </w:r>
      <w:r w:rsidRPr="00EE25D1">
        <w:rPr>
          <w:rFonts w:ascii="Calibri" w:hAnsi="Calibri"/>
        </w:rPr>
        <w:t>, los Juzgados y Tribunales, desde la publicación de la LAPCD, han rehusado constituir una curatela cuando existe constancia de la vigencia de una guarda de hecho que está funcionado correctamente. Puede verse la SJPI Sevilla 27 septiembre 2021, que desestima la constitución de una curatela porque una anciana estaba siendo atendida correctamente por su hija (en el mismo sentido la SJPI Jaén 22 septiembre 2021 y la SJPI Córdoba 30 septiembre 2021).</w:t>
      </w:r>
    </w:p>
  </w:footnote>
  <w:footnote w:id="60">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La SJPI Massamagrell 21 septiembre 2021 (</w:t>
      </w:r>
      <w:r w:rsidRPr="00EE25D1">
        <w:rPr>
          <w:rFonts w:ascii="Calibri" w:hAnsi="Calibri"/>
          <w:i/>
        </w:rPr>
        <w:t>Tol 8764563</w:t>
      </w:r>
      <w:r w:rsidRPr="00EE25D1">
        <w:rPr>
          <w:rFonts w:ascii="Calibri" w:hAnsi="Calibri"/>
        </w:rPr>
        <w:t>), constituyó una curatela con facultades de representación que abarcaba el ámbito personal y patrimonial respecto a una persona con alzhéimer que tenía anulada sus facultades. Pese a reconocerse en el acto de la vista que el hijo era quien atendía correctamente al padre, el Juzgado rehusó la posibilidad de desestimar la continuación de la guarda de hecho y sujetó al padre a una curatela. Mismo designio fue el de la SJPI Tafalla 23 noviembre 2021 (</w:t>
      </w:r>
      <w:r w:rsidRPr="00EE25D1">
        <w:rPr>
          <w:rFonts w:ascii="Calibri" w:hAnsi="Calibri"/>
          <w:i/>
        </w:rPr>
        <w:t xml:space="preserve">Tol 8827334), </w:t>
      </w:r>
      <w:r w:rsidRPr="00EE25D1">
        <w:rPr>
          <w:rFonts w:ascii="Calibri" w:hAnsi="Calibri"/>
        </w:rPr>
        <w:t xml:space="preserve">que, ante una persona con alzhéimer que estaba bajo la guarda de hecho de su sobrina que le dispensaba apoyo “de una forma adecuada y atendiendo a los intereses y deseos de la misma”, constituyó una curatela, nombrando curador a su sobrina con facultades de representación. Por la misma singladura transitó la más reciente SAP Valencia 19 enero 2022 (JUR 2022, 100763), nombrando en este caso curador al marido de la persona con discapacidad. </w:t>
      </w:r>
    </w:p>
  </w:footnote>
  <w:footnote w:id="61">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Toral Lara</w:t>
      </w:r>
      <w:r w:rsidRPr="00EE25D1">
        <w:rPr>
          <w:rFonts w:ascii="Calibri" w:hAnsi="Calibri"/>
        </w:rPr>
        <w:t>, Estrella, «Las medidas de apoyo judiciales e informales en el nuevo sistema de provisión de apoyos del Código Civil», op. cit., p. 174, defiende la idea de que el guardador pueda acudir al Juzgado para el simple reconocimiento de la guarda de hecho.</w:t>
      </w:r>
    </w:p>
  </w:footnote>
  <w:footnote w:id="62">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Nos remitimos a la Exposición de Motivos: </w:t>
      </w:r>
      <w:r w:rsidRPr="00EE25D1">
        <w:rPr>
          <w:rFonts w:ascii="Calibri" w:hAnsi="Calibri"/>
          <w:color w:val="000000"/>
          <w:shd w:val="clear" w:color="auto" w:fill="FFFFFF"/>
        </w:rPr>
        <w:t xml:space="preserve"> ”Fuera de ellas conviene destacar el reforzamiento de la figura de la guarda de hecho, que se transforma en una propia institución jurídica de apoyo, al dejar de ser una situación provisional cuando se manifiesta como suficiente y adecuada para la salvaguarda de los derechos de la persona con discapacidad. La realidad demuestra que en muchos supuestos la persona con discapacidad está adecuadamente asistida o apoyada en la toma de decisiones y el ejercicio de su capacidad jurídica por un guardador de hecho –generalmente un familiar, pues la familia sigue siendo en nuestra sociedad el grupo básico de solidaridad y apoyo entre las personas que la componen, especialmente en lo que atañe a sus miembros más vulnerables–, que </w:t>
      </w:r>
      <w:r w:rsidRPr="00EE25D1">
        <w:rPr>
          <w:rFonts w:ascii="Calibri" w:hAnsi="Calibri"/>
          <w:i/>
          <w:color w:val="000000"/>
          <w:shd w:val="clear" w:color="auto" w:fill="FFFFFF"/>
        </w:rPr>
        <w:t>no precisa de una investidura judicial formal que la persona con discapacidad tampoco desea</w:t>
      </w:r>
      <w:r w:rsidRPr="00EE25D1">
        <w:rPr>
          <w:rFonts w:ascii="Calibri" w:hAnsi="Calibri"/>
          <w:color w:val="000000"/>
          <w:shd w:val="clear" w:color="auto" w:fill="FFFFFF"/>
        </w:rPr>
        <w:t>. Para los casos en que se requiera que el guardador realice una actuación representativa, se prevé la necesidad de que obtenga una autorización judicial </w:t>
      </w:r>
      <w:r w:rsidRPr="00EE25D1">
        <w:rPr>
          <w:rStyle w:val="nfasis"/>
          <w:rFonts w:ascii="Calibri" w:hAnsi="Calibri"/>
          <w:color w:val="000000"/>
          <w:shd w:val="clear" w:color="auto" w:fill="FFFFFF"/>
        </w:rPr>
        <w:t>ad hoc</w:t>
      </w:r>
      <w:r w:rsidRPr="00EE25D1">
        <w:rPr>
          <w:rFonts w:ascii="Calibri" w:hAnsi="Calibri"/>
          <w:color w:val="000000"/>
          <w:shd w:val="clear" w:color="auto" w:fill="FFFFFF"/>
        </w:rPr>
        <w:t>, de modo que no será preciso que se abra todo un procedimiento general de provisión de apoyos, sino que será suficiente con la autorización para el caso, previo examen de las circunstancias”.</w:t>
      </w:r>
    </w:p>
  </w:footnote>
  <w:footnote w:id="63">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No suscribimos, ni la fundamentación ni el fallo, de la AJPI Córdoba 7 febrero 2022, que, en un caso en el que la guardadora de hecho solicitó la declaración judicial de la guarda para anular la cuenta bancaria de su hermana, procedió a declarar la guarda de hecho, a pesar de reconocer en el fallo que no precisaba de resolución judicial alguna para cancelar la cuenta, ni para solicitar los atrasos que le correspondían a la hermana por la pensión de orfandad, ni para disponer de la cantidad que le pudiera corresponder por el seguro de defunción, “porque el Código Civil, norma de obligado cumplimiento para todos, establece que la guarda de hecho no precisa de una investidura forma para los actos descritos”. Para un mayor análisis del citado auto, puede verse </w:t>
      </w:r>
      <w:r w:rsidRPr="00EE25D1">
        <w:rPr>
          <w:rFonts w:ascii="Calibri" w:hAnsi="Calibri"/>
          <w:smallCaps/>
        </w:rPr>
        <w:t>Prados García</w:t>
      </w:r>
      <w:r w:rsidRPr="00EE25D1">
        <w:rPr>
          <w:rFonts w:ascii="Calibri" w:hAnsi="Calibri"/>
        </w:rPr>
        <w:t xml:space="preserve">, Celia, «Negativa de un banco a reconocer la condición de guardador de hecho. Comentario al Auto 8/2022 del Juzgado n. º 3 de Córdoba, de 11 de enero de 2022», </w:t>
      </w:r>
      <w:r w:rsidRPr="00EE25D1">
        <w:rPr>
          <w:rFonts w:ascii="Calibri" w:hAnsi="Calibri"/>
          <w:i/>
        </w:rPr>
        <w:t>Diario la Ley</w:t>
      </w:r>
      <w:r w:rsidRPr="00EE25D1">
        <w:rPr>
          <w:rFonts w:ascii="Calibri" w:hAnsi="Calibri"/>
        </w:rPr>
        <w:t>, núm. 1008 (2022).</w:t>
      </w:r>
    </w:p>
  </w:footnote>
  <w:footnote w:id="64">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Este es el sendero por el que han transitado las primeras resoluciones judiciales (</w:t>
      </w:r>
      <w:r w:rsidRPr="00EE25D1">
        <w:rPr>
          <w:rFonts w:ascii="Calibri" w:hAnsi="Calibri"/>
          <w:i/>
        </w:rPr>
        <w:t>vid</w:t>
      </w:r>
      <w:r w:rsidRPr="00EE25D1">
        <w:rPr>
          <w:rFonts w:ascii="Calibri" w:hAnsi="Calibri"/>
        </w:rPr>
        <w:t>. SJPI Jaén 22 septiembre 2021, SJPI Sevilla 27 septiembre 2021, SJPI Córdoba 30 septiembre 2021). No obstante, otras sentencias, con base a un criterio que no compartimos, han constituido una curatela, previa existencia de una guarda de hecho que funcionaba correctamente, al socaire de la gravedad de la enfermedad, pudiendo citarse la SJPI Massamagrell 21 septiembre 2021 (JUR 2022, 43252), extendiendo la curatela a actos sumergidos en la esfera personal y patrimonial [</w:t>
      </w:r>
      <w:r w:rsidRPr="00EE25D1">
        <w:rPr>
          <w:rFonts w:ascii="Calibri" w:hAnsi="Calibri"/>
          <w:i/>
        </w:rPr>
        <w:t>vid</w:t>
      </w:r>
      <w:r w:rsidRPr="00EE25D1">
        <w:rPr>
          <w:rFonts w:ascii="Calibri" w:hAnsi="Calibri"/>
        </w:rPr>
        <w:t>. además, la SJPI Tafalla 23 noviembre 2021 y la más reciente SAP Valencia 19 enero 2022 (JUR 2022, 100763)].</w:t>
      </w:r>
    </w:p>
  </w:footnote>
  <w:footnote w:id="65">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Esta posibilidad la admite </w:t>
      </w:r>
      <w:r w:rsidRPr="00EE25D1">
        <w:rPr>
          <w:rFonts w:ascii="Calibri" w:hAnsi="Calibri"/>
          <w:smallCaps/>
        </w:rPr>
        <w:t>Nieto Alonso</w:t>
      </w:r>
      <w:r w:rsidRPr="00EE25D1">
        <w:rPr>
          <w:rFonts w:ascii="Calibri" w:hAnsi="Calibri"/>
        </w:rPr>
        <w:t>, Antonia: «Artículo 263», op. cit., p. 297.</w:t>
      </w:r>
    </w:p>
  </w:footnote>
  <w:footnote w:id="66">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Compárese el artículo 275.2 del Código Civil, formulado en sentido imperativo, con el artículo 275.3, que daba cierto margen de discrecionalidad al Juez si existe circunstancias excepcionales debidamente motivadas.</w:t>
      </w:r>
    </w:p>
  </w:footnote>
  <w:footnote w:id="67">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Álvarez Lata</w:t>
      </w:r>
      <w:r w:rsidRPr="00EE25D1">
        <w:rPr>
          <w:rFonts w:ascii="Calibri" w:hAnsi="Calibri"/>
        </w:rPr>
        <w:t xml:space="preserve">, Natalia, «Artículos 263 al 267», op. cit., p. 499. </w:t>
      </w:r>
    </w:p>
  </w:footnote>
  <w:footnote w:id="68">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i/>
        </w:rPr>
        <w:t>Idem</w:t>
      </w:r>
      <w:r w:rsidRPr="00EE25D1">
        <w:rPr>
          <w:rFonts w:ascii="Calibri" w:hAnsi="Calibri"/>
        </w:rPr>
        <w:t>. p. 499, identifica el artículo 267.4º del Código Civil, mediante una construcción analógica con los casos que contempla el artículo 278 en sede de curatela, con los supuestos en los que “el guardador se conduzca mal en su desempeño por incumplimiento de los deberes propios del cargo, por notoria ineptitud de su ejercicio o cuando, en su caso surgieran problemas de convivencia graves y continuamos con la persona a lo que prestan apoyo”.</w:t>
      </w:r>
    </w:p>
  </w:footnote>
  <w:footnote w:id="69">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García Rubio</w:t>
      </w:r>
      <w:r w:rsidRPr="00EE25D1">
        <w:rPr>
          <w:rFonts w:ascii="Calibri" w:hAnsi="Calibri"/>
        </w:rPr>
        <w:t>, María Paz, «Artículo 250», op. cit., p. 335.</w:t>
      </w:r>
    </w:p>
  </w:footnote>
  <w:footnote w:id="70">
    <w:p w:rsidR="00176949" w:rsidRPr="00EE25D1" w:rsidRDefault="00176949" w:rsidP="00D44BF1">
      <w:pPr>
        <w:pStyle w:val="Textonotapie"/>
        <w:spacing w:before="20" w:after="20" w:line="276" w:lineRule="auto"/>
        <w:rPr>
          <w:rFonts w:ascii="Calibri" w:hAnsi="Calibri"/>
        </w:rPr>
      </w:pPr>
      <w:r w:rsidRPr="00EE25D1">
        <w:rPr>
          <w:rStyle w:val="Refdenotaalpie"/>
          <w:rFonts w:ascii="Calibri" w:hAnsi="Calibri"/>
        </w:rPr>
        <w:footnoteRef/>
      </w:r>
      <w:r w:rsidRPr="00EE25D1">
        <w:rPr>
          <w:rFonts w:ascii="Calibri" w:hAnsi="Calibri"/>
        </w:rPr>
        <w:t xml:space="preserve"> </w:t>
      </w:r>
      <w:r w:rsidRPr="00EE25D1">
        <w:rPr>
          <w:rFonts w:ascii="Calibri" w:hAnsi="Calibri"/>
          <w:smallCaps/>
        </w:rPr>
        <w:t>Nieto Alonso</w:t>
      </w:r>
      <w:r w:rsidRPr="00EE25D1">
        <w:rPr>
          <w:rFonts w:ascii="Calibri" w:hAnsi="Calibri"/>
        </w:rPr>
        <w:t>, Antonia, «Artículo 263», op. cit., p. 296.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898"/>
    <w:multiLevelType w:val="hybridMultilevel"/>
    <w:tmpl w:val="3ED4C412"/>
    <w:lvl w:ilvl="0" w:tplc="0B62FC6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9C6155"/>
    <w:multiLevelType w:val="hybridMultilevel"/>
    <w:tmpl w:val="D7D4633C"/>
    <w:lvl w:ilvl="0" w:tplc="05D292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D73E7E"/>
    <w:multiLevelType w:val="hybridMultilevel"/>
    <w:tmpl w:val="0C22AF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DF000BB"/>
    <w:multiLevelType w:val="hybridMultilevel"/>
    <w:tmpl w:val="64406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2C31BFB"/>
    <w:multiLevelType w:val="hybridMultilevel"/>
    <w:tmpl w:val="577A5D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775F60"/>
    <w:multiLevelType w:val="hybridMultilevel"/>
    <w:tmpl w:val="9DEE3D56"/>
    <w:lvl w:ilvl="0" w:tplc="E49A88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66F1957"/>
    <w:multiLevelType w:val="hybridMultilevel"/>
    <w:tmpl w:val="92B80A4A"/>
    <w:lvl w:ilvl="0" w:tplc="6CCC34C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DB2555"/>
    <w:multiLevelType w:val="hybridMultilevel"/>
    <w:tmpl w:val="DB4210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866975"/>
    <w:rsid w:val="00000B07"/>
    <w:rsid w:val="0000238D"/>
    <w:rsid w:val="00002A4B"/>
    <w:rsid w:val="0000503E"/>
    <w:rsid w:val="00006D26"/>
    <w:rsid w:val="000077C1"/>
    <w:rsid w:val="00010255"/>
    <w:rsid w:val="000137EA"/>
    <w:rsid w:val="00014983"/>
    <w:rsid w:val="00016B7B"/>
    <w:rsid w:val="000202E1"/>
    <w:rsid w:val="0002125C"/>
    <w:rsid w:val="00021D60"/>
    <w:rsid w:val="00022A91"/>
    <w:rsid w:val="00024DB6"/>
    <w:rsid w:val="00025909"/>
    <w:rsid w:val="0003003E"/>
    <w:rsid w:val="00032358"/>
    <w:rsid w:val="0003475E"/>
    <w:rsid w:val="00035CB9"/>
    <w:rsid w:val="00036693"/>
    <w:rsid w:val="00036D68"/>
    <w:rsid w:val="000376EA"/>
    <w:rsid w:val="00037762"/>
    <w:rsid w:val="0004058B"/>
    <w:rsid w:val="00041AFA"/>
    <w:rsid w:val="00042DEA"/>
    <w:rsid w:val="0004338E"/>
    <w:rsid w:val="00045060"/>
    <w:rsid w:val="0004519A"/>
    <w:rsid w:val="000471D9"/>
    <w:rsid w:val="00052BCC"/>
    <w:rsid w:val="0005358C"/>
    <w:rsid w:val="00053DB9"/>
    <w:rsid w:val="00055C4C"/>
    <w:rsid w:val="00055FE5"/>
    <w:rsid w:val="00057DA3"/>
    <w:rsid w:val="00057E75"/>
    <w:rsid w:val="00061912"/>
    <w:rsid w:val="00061A1C"/>
    <w:rsid w:val="00062D3F"/>
    <w:rsid w:val="000630BE"/>
    <w:rsid w:val="000649FD"/>
    <w:rsid w:val="00065B3D"/>
    <w:rsid w:val="00067B3E"/>
    <w:rsid w:val="00067C54"/>
    <w:rsid w:val="000704AB"/>
    <w:rsid w:val="00071484"/>
    <w:rsid w:val="0007676C"/>
    <w:rsid w:val="00080CF6"/>
    <w:rsid w:val="00082867"/>
    <w:rsid w:val="00082BF2"/>
    <w:rsid w:val="00084B1B"/>
    <w:rsid w:val="000901B8"/>
    <w:rsid w:val="000902C9"/>
    <w:rsid w:val="000906B6"/>
    <w:rsid w:val="00090954"/>
    <w:rsid w:val="00094227"/>
    <w:rsid w:val="000954C1"/>
    <w:rsid w:val="0009606A"/>
    <w:rsid w:val="00096BEC"/>
    <w:rsid w:val="000A1D7D"/>
    <w:rsid w:val="000A2F4F"/>
    <w:rsid w:val="000A423D"/>
    <w:rsid w:val="000A51A9"/>
    <w:rsid w:val="000A6275"/>
    <w:rsid w:val="000A7144"/>
    <w:rsid w:val="000B17B5"/>
    <w:rsid w:val="000B1F6C"/>
    <w:rsid w:val="000B2C05"/>
    <w:rsid w:val="000B304C"/>
    <w:rsid w:val="000B56B2"/>
    <w:rsid w:val="000C006A"/>
    <w:rsid w:val="000C0416"/>
    <w:rsid w:val="000C32B4"/>
    <w:rsid w:val="000C675D"/>
    <w:rsid w:val="000D0E8D"/>
    <w:rsid w:val="000D2E0D"/>
    <w:rsid w:val="000D2EF0"/>
    <w:rsid w:val="000D45A2"/>
    <w:rsid w:val="000D4C31"/>
    <w:rsid w:val="000D55B1"/>
    <w:rsid w:val="000E03E3"/>
    <w:rsid w:val="000E0F03"/>
    <w:rsid w:val="000E1731"/>
    <w:rsid w:val="000E20BC"/>
    <w:rsid w:val="000E3206"/>
    <w:rsid w:val="000F01A6"/>
    <w:rsid w:val="000F05B9"/>
    <w:rsid w:val="000F0ED7"/>
    <w:rsid w:val="000F32AA"/>
    <w:rsid w:val="000F3D9B"/>
    <w:rsid w:val="000F426C"/>
    <w:rsid w:val="000F5EC1"/>
    <w:rsid w:val="000F639F"/>
    <w:rsid w:val="000F7DCD"/>
    <w:rsid w:val="00103D05"/>
    <w:rsid w:val="0011083C"/>
    <w:rsid w:val="00110FE6"/>
    <w:rsid w:val="001110A2"/>
    <w:rsid w:val="00113380"/>
    <w:rsid w:val="00114D9E"/>
    <w:rsid w:val="00115F00"/>
    <w:rsid w:val="00116AC0"/>
    <w:rsid w:val="00116D22"/>
    <w:rsid w:val="00117C14"/>
    <w:rsid w:val="00117D3E"/>
    <w:rsid w:val="00125E04"/>
    <w:rsid w:val="001272BC"/>
    <w:rsid w:val="001276DA"/>
    <w:rsid w:val="00132FA8"/>
    <w:rsid w:val="00133054"/>
    <w:rsid w:val="00133079"/>
    <w:rsid w:val="00136888"/>
    <w:rsid w:val="00140F80"/>
    <w:rsid w:val="001432AB"/>
    <w:rsid w:val="00143E6D"/>
    <w:rsid w:val="00145957"/>
    <w:rsid w:val="00151A1E"/>
    <w:rsid w:val="00156387"/>
    <w:rsid w:val="001567B1"/>
    <w:rsid w:val="00156921"/>
    <w:rsid w:val="00156C11"/>
    <w:rsid w:val="00163AD2"/>
    <w:rsid w:val="001643C1"/>
    <w:rsid w:val="001671A2"/>
    <w:rsid w:val="00171CDE"/>
    <w:rsid w:val="00171F36"/>
    <w:rsid w:val="0017326A"/>
    <w:rsid w:val="00173980"/>
    <w:rsid w:val="00176949"/>
    <w:rsid w:val="001774F1"/>
    <w:rsid w:val="00180024"/>
    <w:rsid w:val="00181AA0"/>
    <w:rsid w:val="00183A59"/>
    <w:rsid w:val="00183AA9"/>
    <w:rsid w:val="00184004"/>
    <w:rsid w:val="0018566D"/>
    <w:rsid w:val="001924BC"/>
    <w:rsid w:val="001946F9"/>
    <w:rsid w:val="00194A99"/>
    <w:rsid w:val="001953C3"/>
    <w:rsid w:val="00197529"/>
    <w:rsid w:val="00197BB6"/>
    <w:rsid w:val="001A071A"/>
    <w:rsid w:val="001A17D4"/>
    <w:rsid w:val="001A3A69"/>
    <w:rsid w:val="001B00F2"/>
    <w:rsid w:val="001B03EE"/>
    <w:rsid w:val="001B101A"/>
    <w:rsid w:val="001B10F6"/>
    <w:rsid w:val="001B19D6"/>
    <w:rsid w:val="001B1A27"/>
    <w:rsid w:val="001B36A2"/>
    <w:rsid w:val="001B5658"/>
    <w:rsid w:val="001B58BC"/>
    <w:rsid w:val="001B5998"/>
    <w:rsid w:val="001B5BED"/>
    <w:rsid w:val="001B61B8"/>
    <w:rsid w:val="001B6A4B"/>
    <w:rsid w:val="001B6C11"/>
    <w:rsid w:val="001C06D9"/>
    <w:rsid w:val="001C18A3"/>
    <w:rsid w:val="001C2336"/>
    <w:rsid w:val="001C3768"/>
    <w:rsid w:val="001C3960"/>
    <w:rsid w:val="001C4D9A"/>
    <w:rsid w:val="001C4E92"/>
    <w:rsid w:val="001C5108"/>
    <w:rsid w:val="001D32E1"/>
    <w:rsid w:val="001D3897"/>
    <w:rsid w:val="001D6940"/>
    <w:rsid w:val="001D7894"/>
    <w:rsid w:val="001D78A2"/>
    <w:rsid w:val="001E2189"/>
    <w:rsid w:val="001E4411"/>
    <w:rsid w:val="001E4505"/>
    <w:rsid w:val="001E4A61"/>
    <w:rsid w:val="001E6E64"/>
    <w:rsid w:val="001E7A29"/>
    <w:rsid w:val="001F1213"/>
    <w:rsid w:val="001F1945"/>
    <w:rsid w:val="001F2607"/>
    <w:rsid w:val="001F5F4E"/>
    <w:rsid w:val="001F64F7"/>
    <w:rsid w:val="0020110C"/>
    <w:rsid w:val="002016E9"/>
    <w:rsid w:val="00201FF3"/>
    <w:rsid w:val="0020355B"/>
    <w:rsid w:val="00203AC6"/>
    <w:rsid w:val="00203E06"/>
    <w:rsid w:val="00205572"/>
    <w:rsid w:val="00207AAE"/>
    <w:rsid w:val="00211C24"/>
    <w:rsid w:val="00213EBB"/>
    <w:rsid w:val="0022344B"/>
    <w:rsid w:val="0022463E"/>
    <w:rsid w:val="002258D9"/>
    <w:rsid w:val="00225A12"/>
    <w:rsid w:val="002274B8"/>
    <w:rsid w:val="00232CA6"/>
    <w:rsid w:val="00241543"/>
    <w:rsid w:val="002421C1"/>
    <w:rsid w:val="00242599"/>
    <w:rsid w:val="00243395"/>
    <w:rsid w:val="002442F4"/>
    <w:rsid w:val="0025160B"/>
    <w:rsid w:val="002518C0"/>
    <w:rsid w:val="00252377"/>
    <w:rsid w:val="0025484C"/>
    <w:rsid w:val="002552E6"/>
    <w:rsid w:val="002623C4"/>
    <w:rsid w:val="002624BC"/>
    <w:rsid w:val="0026332D"/>
    <w:rsid w:val="00263BE0"/>
    <w:rsid w:val="0026528D"/>
    <w:rsid w:val="0026580A"/>
    <w:rsid w:val="002658CC"/>
    <w:rsid w:val="00265906"/>
    <w:rsid w:val="00265C9A"/>
    <w:rsid w:val="0026623F"/>
    <w:rsid w:val="002671A4"/>
    <w:rsid w:val="002677DE"/>
    <w:rsid w:val="00267B96"/>
    <w:rsid w:val="00270348"/>
    <w:rsid w:val="00273497"/>
    <w:rsid w:val="002736F5"/>
    <w:rsid w:val="0027471E"/>
    <w:rsid w:val="00276A07"/>
    <w:rsid w:val="00280782"/>
    <w:rsid w:val="00281682"/>
    <w:rsid w:val="002844D7"/>
    <w:rsid w:val="00295224"/>
    <w:rsid w:val="00295EBD"/>
    <w:rsid w:val="0029666E"/>
    <w:rsid w:val="0029795D"/>
    <w:rsid w:val="002A00ED"/>
    <w:rsid w:val="002A0581"/>
    <w:rsid w:val="002A197F"/>
    <w:rsid w:val="002A2B7F"/>
    <w:rsid w:val="002A2EF3"/>
    <w:rsid w:val="002A7CD1"/>
    <w:rsid w:val="002B2852"/>
    <w:rsid w:val="002B2BF9"/>
    <w:rsid w:val="002B5A33"/>
    <w:rsid w:val="002C0689"/>
    <w:rsid w:val="002C14EE"/>
    <w:rsid w:val="002C2C94"/>
    <w:rsid w:val="002C2C9C"/>
    <w:rsid w:val="002C3A52"/>
    <w:rsid w:val="002C533F"/>
    <w:rsid w:val="002C5672"/>
    <w:rsid w:val="002C67BF"/>
    <w:rsid w:val="002D04D5"/>
    <w:rsid w:val="002D1EAB"/>
    <w:rsid w:val="002D4FEF"/>
    <w:rsid w:val="002E488B"/>
    <w:rsid w:val="002E514B"/>
    <w:rsid w:val="002F2C1F"/>
    <w:rsid w:val="0030078E"/>
    <w:rsid w:val="00300FB3"/>
    <w:rsid w:val="00302661"/>
    <w:rsid w:val="003036DD"/>
    <w:rsid w:val="003048AE"/>
    <w:rsid w:val="00304A16"/>
    <w:rsid w:val="00304C7F"/>
    <w:rsid w:val="00305181"/>
    <w:rsid w:val="00306551"/>
    <w:rsid w:val="00306A0C"/>
    <w:rsid w:val="00306E92"/>
    <w:rsid w:val="00307175"/>
    <w:rsid w:val="00310684"/>
    <w:rsid w:val="00310A0C"/>
    <w:rsid w:val="00311472"/>
    <w:rsid w:val="003115DD"/>
    <w:rsid w:val="00312B5B"/>
    <w:rsid w:val="00315DF0"/>
    <w:rsid w:val="00316FD5"/>
    <w:rsid w:val="003170CF"/>
    <w:rsid w:val="00317A40"/>
    <w:rsid w:val="00320562"/>
    <w:rsid w:val="00322BE2"/>
    <w:rsid w:val="003304B3"/>
    <w:rsid w:val="00330C10"/>
    <w:rsid w:val="00331B2E"/>
    <w:rsid w:val="0033266A"/>
    <w:rsid w:val="00332D59"/>
    <w:rsid w:val="003345D3"/>
    <w:rsid w:val="00334E87"/>
    <w:rsid w:val="003353C4"/>
    <w:rsid w:val="00336616"/>
    <w:rsid w:val="0034276E"/>
    <w:rsid w:val="00346347"/>
    <w:rsid w:val="003508B8"/>
    <w:rsid w:val="003520E4"/>
    <w:rsid w:val="0035264A"/>
    <w:rsid w:val="00354710"/>
    <w:rsid w:val="00355A02"/>
    <w:rsid w:val="00355FA3"/>
    <w:rsid w:val="0036175E"/>
    <w:rsid w:val="003619D2"/>
    <w:rsid w:val="0036249F"/>
    <w:rsid w:val="003626C5"/>
    <w:rsid w:val="003632BA"/>
    <w:rsid w:val="003652AD"/>
    <w:rsid w:val="00370C4D"/>
    <w:rsid w:val="0037190C"/>
    <w:rsid w:val="003719EC"/>
    <w:rsid w:val="00371DED"/>
    <w:rsid w:val="0037205E"/>
    <w:rsid w:val="00372B1E"/>
    <w:rsid w:val="00372FA8"/>
    <w:rsid w:val="00374CE6"/>
    <w:rsid w:val="0037625A"/>
    <w:rsid w:val="00376467"/>
    <w:rsid w:val="0037646E"/>
    <w:rsid w:val="003767E4"/>
    <w:rsid w:val="00377202"/>
    <w:rsid w:val="00382B37"/>
    <w:rsid w:val="00385589"/>
    <w:rsid w:val="00385789"/>
    <w:rsid w:val="00387B44"/>
    <w:rsid w:val="0039164E"/>
    <w:rsid w:val="00392252"/>
    <w:rsid w:val="0039421A"/>
    <w:rsid w:val="00394639"/>
    <w:rsid w:val="003A03CA"/>
    <w:rsid w:val="003A04D0"/>
    <w:rsid w:val="003A272A"/>
    <w:rsid w:val="003A276E"/>
    <w:rsid w:val="003A2C5E"/>
    <w:rsid w:val="003A64DE"/>
    <w:rsid w:val="003A6B54"/>
    <w:rsid w:val="003A76BC"/>
    <w:rsid w:val="003B2BCB"/>
    <w:rsid w:val="003B4255"/>
    <w:rsid w:val="003B446E"/>
    <w:rsid w:val="003B4F01"/>
    <w:rsid w:val="003B65C4"/>
    <w:rsid w:val="003B73D0"/>
    <w:rsid w:val="003C2652"/>
    <w:rsid w:val="003C31B8"/>
    <w:rsid w:val="003C358B"/>
    <w:rsid w:val="003C40AD"/>
    <w:rsid w:val="003C432B"/>
    <w:rsid w:val="003C5EA4"/>
    <w:rsid w:val="003C6DA4"/>
    <w:rsid w:val="003D2365"/>
    <w:rsid w:val="003D5380"/>
    <w:rsid w:val="003D61C3"/>
    <w:rsid w:val="003D6413"/>
    <w:rsid w:val="003D697A"/>
    <w:rsid w:val="003D7285"/>
    <w:rsid w:val="003D72F6"/>
    <w:rsid w:val="003E0A87"/>
    <w:rsid w:val="003E2377"/>
    <w:rsid w:val="003E4C68"/>
    <w:rsid w:val="003E5CBE"/>
    <w:rsid w:val="003F1FC4"/>
    <w:rsid w:val="003F573A"/>
    <w:rsid w:val="003F5EC4"/>
    <w:rsid w:val="003F6ACE"/>
    <w:rsid w:val="003F77D1"/>
    <w:rsid w:val="003F7DCD"/>
    <w:rsid w:val="004001D4"/>
    <w:rsid w:val="00400D85"/>
    <w:rsid w:val="00402130"/>
    <w:rsid w:val="00403504"/>
    <w:rsid w:val="0040360D"/>
    <w:rsid w:val="004041D6"/>
    <w:rsid w:val="00407AB2"/>
    <w:rsid w:val="00407F4B"/>
    <w:rsid w:val="00410B8B"/>
    <w:rsid w:val="00411527"/>
    <w:rsid w:val="004134C0"/>
    <w:rsid w:val="004147B0"/>
    <w:rsid w:val="004154A1"/>
    <w:rsid w:val="00415724"/>
    <w:rsid w:val="00417D3A"/>
    <w:rsid w:val="00421FB2"/>
    <w:rsid w:val="00422739"/>
    <w:rsid w:val="00424394"/>
    <w:rsid w:val="00425193"/>
    <w:rsid w:val="0042584A"/>
    <w:rsid w:val="00431E60"/>
    <w:rsid w:val="00433F29"/>
    <w:rsid w:val="00435C45"/>
    <w:rsid w:val="00435D59"/>
    <w:rsid w:val="0044299D"/>
    <w:rsid w:val="00443579"/>
    <w:rsid w:val="00443600"/>
    <w:rsid w:val="00443E31"/>
    <w:rsid w:val="0044490E"/>
    <w:rsid w:val="004449CF"/>
    <w:rsid w:val="004451CC"/>
    <w:rsid w:val="00446F94"/>
    <w:rsid w:val="004507D5"/>
    <w:rsid w:val="004510FD"/>
    <w:rsid w:val="004519AF"/>
    <w:rsid w:val="00460484"/>
    <w:rsid w:val="00462B95"/>
    <w:rsid w:val="00464953"/>
    <w:rsid w:val="0047013F"/>
    <w:rsid w:val="00470743"/>
    <w:rsid w:val="0047075F"/>
    <w:rsid w:val="00471478"/>
    <w:rsid w:val="00472893"/>
    <w:rsid w:val="004732FB"/>
    <w:rsid w:val="00474BAF"/>
    <w:rsid w:val="00477905"/>
    <w:rsid w:val="00480941"/>
    <w:rsid w:val="00486882"/>
    <w:rsid w:val="004908D1"/>
    <w:rsid w:val="004936C0"/>
    <w:rsid w:val="004938F2"/>
    <w:rsid w:val="004946DC"/>
    <w:rsid w:val="00494B22"/>
    <w:rsid w:val="0049540F"/>
    <w:rsid w:val="004970B6"/>
    <w:rsid w:val="00497A05"/>
    <w:rsid w:val="004A08FC"/>
    <w:rsid w:val="004A1873"/>
    <w:rsid w:val="004A2776"/>
    <w:rsid w:val="004A326A"/>
    <w:rsid w:val="004A3FC0"/>
    <w:rsid w:val="004A519C"/>
    <w:rsid w:val="004A5E8E"/>
    <w:rsid w:val="004A7508"/>
    <w:rsid w:val="004B256D"/>
    <w:rsid w:val="004B4FE4"/>
    <w:rsid w:val="004B514D"/>
    <w:rsid w:val="004B5B4C"/>
    <w:rsid w:val="004B7419"/>
    <w:rsid w:val="004B78C6"/>
    <w:rsid w:val="004C2AB5"/>
    <w:rsid w:val="004C500C"/>
    <w:rsid w:val="004D216F"/>
    <w:rsid w:val="004D33A6"/>
    <w:rsid w:val="004D4109"/>
    <w:rsid w:val="004D44FC"/>
    <w:rsid w:val="004D7D3A"/>
    <w:rsid w:val="004E1268"/>
    <w:rsid w:val="004E22B2"/>
    <w:rsid w:val="004E51B5"/>
    <w:rsid w:val="004E5818"/>
    <w:rsid w:val="004E6242"/>
    <w:rsid w:val="004F054E"/>
    <w:rsid w:val="004F192C"/>
    <w:rsid w:val="004F1A9D"/>
    <w:rsid w:val="00500BF2"/>
    <w:rsid w:val="00501449"/>
    <w:rsid w:val="00501AEA"/>
    <w:rsid w:val="005051BC"/>
    <w:rsid w:val="00505384"/>
    <w:rsid w:val="00507D96"/>
    <w:rsid w:val="00510F78"/>
    <w:rsid w:val="005110EF"/>
    <w:rsid w:val="0051274E"/>
    <w:rsid w:val="005164D7"/>
    <w:rsid w:val="005206B5"/>
    <w:rsid w:val="005208C2"/>
    <w:rsid w:val="00521286"/>
    <w:rsid w:val="00523146"/>
    <w:rsid w:val="00523EB3"/>
    <w:rsid w:val="00524745"/>
    <w:rsid w:val="00524F13"/>
    <w:rsid w:val="00525254"/>
    <w:rsid w:val="00525F91"/>
    <w:rsid w:val="00526B9B"/>
    <w:rsid w:val="00534685"/>
    <w:rsid w:val="005352A3"/>
    <w:rsid w:val="00537127"/>
    <w:rsid w:val="00537E64"/>
    <w:rsid w:val="00540479"/>
    <w:rsid w:val="00540FEB"/>
    <w:rsid w:val="00542F93"/>
    <w:rsid w:val="0054349B"/>
    <w:rsid w:val="00545FB7"/>
    <w:rsid w:val="00546269"/>
    <w:rsid w:val="00546DA8"/>
    <w:rsid w:val="00547838"/>
    <w:rsid w:val="00552121"/>
    <w:rsid w:val="005534FD"/>
    <w:rsid w:val="005552C2"/>
    <w:rsid w:val="005654B4"/>
    <w:rsid w:val="0056574A"/>
    <w:rsid w:val="00565975"/>
    <w:rsid w:val="00565F29"/>
    <w:rsid w:val="005668E0"/>
    <w:rsid w:val="00570B5B"/>
    <w:rsid w:val="00571792"/>
    <w:rsid w:val="00573103"/>
    <w:rsid w:val="00573655"/>
    <w:rsid w:val="00573A43"/>
    <w:rsid w:val="00577154"/>
    <w:rsid w:val="00582BF3"/>
    <w:rsid w:val="00583182"/>
    <w:rsid w:val="005831B9"/>
    <w:rsid w:val="00590119"/>
    <w:rsid w:val="0059518C"/>
    <w:rsid w:val="0059600C"/>
    <w:rsid w:val="005A152B"/>
    <w:rsid w:val="005A1AAB"/>
    <w:rsid w:val="005A1B08"/>
    <w:rsid w:val="005A1F88"/>
    <w:rsid w:val="005A2076"/>
    <w:rsid w:val="005A2F8E"/>
    <w:rsid w:val="005A5489"/>
    <w:rsid w:val="005A5709"/>
    <w:rsid w:val="005B4F2F"/>
    <w:rsid w:val="005B5B00"/>
    <w:rsid w:val="005B5B8A"/>
    <w:rsid w:val="005B753E"/>
    <w:rsid w:val="005C3FD5"/>
    <w:rsid w:val="005C6418"/>
    <w:rsid w:val="005C71FE"/>
    <w:rsid w:val="005D04AA"/>
    <w:rsid w:val="005D396B"/>
    <w:rsid w:val="005D3AAB"/>
    <w:rsid w:val="005D3AD7"/>
    <w:rsid w:val="005D3BD4"/>
    <w:rsid w:val="005D659C"/>
    <w:rsid w:val="005E0D63"/>
    <w:rsid w:val="005E0E2F"/>
    <w:rsid w:val="005E1B58"/>
    <w:rsid w:val="005E2B08"/>
    <w:rsid w:val="005E2EB1"/>
    <w:rsid w:val="005E39FA"/>
    <w:rsid w:val="005E436B"/>
    <w:rsid w:val="005E4AF0"/>
    <w:rsid w:val="005E74D2"/>
    <w:rsid w:val="005E7F96"/>
    <w:rsid w:val="005F00E5"/>
    <w:rsid w:val="005F07DC"/>
    <w:rsid w:val="005F0D78"/>
    <w:rsid w:val="005F0FE6"/>
    <w:rsid w:val="005F2461"/>
    <w:rsid w:val="005F2AF1"/>
    <w:rsid w:val="005F4B20"/>
    <w:rsid w:val="005F57BB"/>
    <w:rsid w:val="005F665C"/>
    <w:rsid w:val="005F6F27"/>
    <w:rsid w:val="006002CA"/>
    <w:rsid w:val="00600F0F"/>
    <w:rsid w:val="00602D23"/>
    <w:rsid w:val="00603B38"/>
    <w:rsid w:val="00603F12"/>
    <w:rsid w:val="00604245"/>
    <w:rsid w:val="0061580C"/>
    <w:rsid w:val="006159F0"/>
    <w:rsid w:val="006167F6"/>
    <w:rsid w:val="00616944"/>
    <w:rsid w:val="00617794"/>
    <w:rsid w:val="0062117D"/>
    <w:rsid w:val="0062436D"/>
    <w:rsid w:val="00625E3A"/>
    <w:rsid w:val="0062635C"/>
    <w:rsid w:val="00626908"/>
    <w:rsid w:val="0063197F"/>
    <w:rsid w:val="00632F56"/>
    <w:rsid w:val="0063529E"/>
    <w:rsid w:val="00636ADE"/>
    <w:rsid w:val="0064131F"/>
    <w:rsid w:val="006419CD"/>
    <w:rsid w:val="00642B84"/>
    <w:rsid w:val="006440A5"/>
    <w:rsid w:val="006463CB"/>
    <w:rsid w:val="00646F1C"/>
    <w:rsid w:val="00647AA4"/>
    <w:rsid w:val="00647B75"/>
    <w:rsid w:val="00661626"/>
    <w:rsid w:val="006620DA"/>
    <w:rsid w:val="00664D2E"/>
    <w:rsid w:val="00665F2C"/>
    <w:rsid w:val="00666EDB"/>
    <w:rsid w:val="00667206"/>
    <w:rsid w:val="00667DD2"/>
    <w:rsid w:val="006705C5"/>
    <w:rsid w:val="00671B20"/>
    <w:rsid w:val="00672635"/>
    <w:rsid w:val="0067485C"/>
    <w:rsid w:val="00674F28"/>
    <w:rsid w:val="0068058D"/>
    <w:rsid w:val="00681183"/>
    <w:rsid w:val="0068179D"/>
    <w:rsid w:val="00683193"/>
    <w:rsid w:val="00686FB5"/>
    <w:rsid w:val="0069139E"/>
    <w:rsid w:val="0069170C"/>
    <w:rsid w:val="00692EF4"/>
    <w:rsid w:val="006A1984"/>
    <w:rsid w:val="006A32B7"/>
    <w:rsid w:val="006A4624"/>
    <w:rsid w:val="006A5CCB"/>
    <w:rsid w:val="006A5E2A"/>
    <w:rsid w:val="006B0D73"/>
    <w:rsid w:val="006B0E0A"/>
    <w:rsid w:val="006B1558"/>
    <w:rsid w:val="006B1AA7"/>
    <w:rsid w:val="006B2398"/>
    <w:rsid w:val="006B2DA1"/>
    <w:rsid w:val="006B42C2"/>
    <w:rsid w:val="006B54DF"/>
    <w:rsid w:val="006B6C87"/>
    <w:rsid w:val="006B7FB1"/>
    <w:rsid w:val="006C04F2"/>
    <w:rsid w:val="006C153F"/>
    <w:rsid w:val="006C4AAF"/>
    <w:rsid w:val="006C4D58"/>
    <w:rsid w:val="006C6CEE"/>
    <w:rsid w:val="006D330D"/>
    <w:rsid w:val="006D3BA9"/>
    <w:rsid w:val="006D7919"/>
    <w:rsid w:val="006D7CE6"/>
    <w:rsid w:val="006E2403"/>
    <w:rsid w:val="006E3879"/>
    <w:rsid w:val="006E3A2E"/>
    <w:rsid w:val="006F0418"/>
    <w:rsid w:val="006F0AA2"/>
    <w:rsid w:val="006F37C8"/>
    <w:rsid w:val="006F5FF8"/>
    <w:rsid w:val="006F631D"/>
    <w:rsid w:val="00700C65"/>
    <w:rsid w:val="007018D0"/>
    <w:rsid w:val="007021AA"/>
    <w:rsid w:val="00702E10"/>
    <w:rsid w:val="007043F8"/>
    <w:rsid w:val="007073DA"/>
    <w:rsid w:val="0071015A"/>
    <w:rsid w:val="00713133"/>
    <w:rsid w:val="0071352A"/>
    <w:rsid w:val="00713CC7"/>
    <w:rsid w:val="00713F29"/>
    <w:rsid w:val="0072106E"/>
    <w:rsid w:val="007229B0"/>
    <w:rsid w:val="007276AB"/>
    <w:rsid w:val="00730FEE"/>
    <w:rsid w:val="00731478"/>
    <w:rsid w:val="00731D18"/>
    <w:rsid w:val="00733474"/>
    <w:rsid w:val="0073358B"/>
    <w:rsid w:val="00735E50"/>
    <w:rsid w:val="00736C11"/>
    <w:rsid w:val="00743D14"/>
    <w:rsid w:val="0074451A"/>
    <w:rsid w:val="007467C0"/>
    <w:rsid w:val="00751D7F"/>
    <w:rsid w:val="00751F5B"/>
    <w:rsid w:val="007534DE"/>
    <w:rsid w:val="007539F1"/>
    <w:rsid w:val="007544BE"/>
    <w:rsid w:val="00754B5A"/>
    <w:rsid w:val="00760ECA"/>
    <w:rsid w:val="00761A17"/>
    <w:rsid w:val="00761F3A"/>
    <w:rsid w:val="0076748E"/>
    <w:rsid w:val="00767EB4"/>
    <w:rsid w:val="00771627"/>
    <w:rsid w:val="00771814"/>
    <w:rsid w:val="007741CB"/>
    <w:rsid w:val="00774CB3"/>
    <w:rsid w:val="00774F8F"/>
    <w:rsid w:val="00775C21"/>
    <w:rsid w:val="00776491"/>
    <w:rsid w:val="00776852"/>
    <w:rsid w:val="007777A6"/>
    <w:rsid w:val="007827A5"/>
    <w:rsid w:val="00783F48"/>
    <w:rsid w:val="00787F79"/>
    <w:rsid w:val="00793644"/>
    <w:rsid w:val="00793DBE"/>
    <w:rsid w:val="007949B4"/>
    <w:rsid w:val="00795453"/>
    <w:rsid w:val="00796B9D"/>
    <w:rsid w:val="007A2F44"/>
    <w:rsid w:val="007A39FA"/>
    <w:rsid w:val="007A5A5E"/>
    <w:rsid w:val="007A755C"/>
    <w:rsid w:val="007B2017"/>
    <w:rsid w:val="007B592D"/>
    <w:rsid w:val="007C12B9"/>
    <w:rsid w:val="007C2B13"/>
    <w:rsid w:val="007C3BA0"/>
    <w:rsid w:val="007C3C5B"/>
    <w:rsid w:val="007C59ED"/>
    <w:rsid w:val="007C59F8"/>
    <w:rsid w:val="007C61B4"/>
    <w:rsid w:val="007C6692"/>
    <w:rsid w:val="007C674B"/>
    <w:rsid w:val="007C7596"/>
    <w:rsid w:val="007C7EFB"/>
    <w:rsid w:val="007D14F2"/>
    <w:rsid w:val="007D1F46"/>
    <w:rsid w:val="007D37E7"/>
    <w:rsid w:val="007D46F2"/>
    <w:rsid w:val="007D4EFB"/>
    <w:rsid w:val="007D777C"/>
    <w:rsid w:val="007E0713"/>
    <w:rsid w:val="007E0B5E"/>
    <w:rsid w:val="007E21C2"/>
    <w:rsid w:val="007E23DB"/>
    <w:rsid w:val="007E39FD"/>
    <w:rsid w:val="007E4E62"/>
    <w:rsid w:val="007E5D8F"/>
    <w:rsid w:val="007E6328"/>
    <w:rsid w:val="007E6AEB"/>
    <w:rsid w:val="007F3BC0"/>
    <w:rsid w:val="007F513B"/>
    <w:rsid w:val="007F5823"/>
    <w:rsid w:val="007F78FD"/>
    <w:rsid w:val="00806D2C"/>
    <w:rsid w:val="00807F21"/>
    <w:rsid w:val="00812D1E"/>
    <w:rsid w:val="00813208"/>
    <w:rsid w:val="008149C0"/>
    <w:rsid w:val="00815450"/>
    <w:rsid w:val="008165CC"/>
    <w:rsid w:val="008174AA"/>
    <w:rsid w:val="00817C80"/>
    <w:rsid w:val="00820E59"/>
    <w:rsid w:val="008230AD"/>
    <w:rsid w:val="008256FD"/>
    <w:rsid w:val="00826702"/>
    <w:rsid w:val="00830710"/>
    <w:rsid w:val="00832FC3"/>
    <w:rsid w:val="008352EF"/>
    <w:rsid w:val="008357E9"/>
    <w:rsid w:val="0084047E"/>
    <w:rsid w:val="00846160"/>
    <w:rsid w:val="00846438"/>
    <w:rsid w:val="00847EE8"/>
    <w:rsid w:val="00851686"/>
    <w:rsid w:val="00855B67"/>
    <w:rsid w:val="008568A2"/>
    <w:rsid w:val="008616DA"/>
    <w:rsid w:val="00862A93"/>
    <w:rsid w:val="008643B2"/>
    <w:rsid w:val="00864411"/>
    <w:rsid w:val="00865749"/>
    <w:rsid w:val="00866975"/>
    <w:rsid w:val="00867D5B"/>
    <w:rsid w:val="00871E73"/>
    <w:rsid w:val="008731B5"/>
    <w:rsid w:val="0087338A"/>
    <w:rsid w:val="00877021"/>
    <w:rsid w:val="00880E34"/>
    <w:rsid w:val="00881CC0"/>
    <w:rsid w:val="00883FEC"/>
    <w:rsid w:val="008844D6"/>
    <w:rsid w:val="00884516"/>
    <w:rsid w:val="0089097A"/>
    <w:rsid w:val="00890FAD"/>
    <w:rsid w:val="008924A2"/>
    <w:rsid w:val="00894AC7"/>
    <w:rsid w:val="008A12B9"/>
    <w:rsid w:val="008A214F"/>
    <w:rsid w:val="008A2356"/>
    <w:rsid w:val="008A2996"/>
    <w:rsid w:val="008A37FE"/>
    <w:rsid w:val="008A381D"/>
    <w:rsid w:val="008A3921"/>
    <w:rsid w:val="008A416D"/>
    <w:rsid w:val="008A6E3B"/>
    <w:rsid w:val="008B21DC"/>
    <w:rsid w:val="008B39D5"/>
    <w:rsid w:val="008B3B7B"/>
    <w:rsid w:val="008B4480"/>
    <w:rsid w:val="008B5420"/>
    <w:rsid w:val="008B5563"/>
    <w:rsid w:val="008B61CD"/>
    <w:rsid w:val="008B656C"/>
    <w:rsid w:val="008B699B"/>
    <w:rsid w:val="008C59EB"/>
    <w:rsid w:val="008C5AB5"/>
    <w:rsid w:val="008C5EC9"/>
    <w:rsid w:val="008D0085"/>
    <w:rsid w:val="008D3FE6"/>
    <w:rsid w:val="008E0227"/>
    <w:rsid w:val="008E3184"/>
    <w:rsid w:val="008E3561"/>
    <w:rsid w:val="008E7AE6"/>
    <w:rsid w:val="008E7C00"/>
    <w:rsid w:val="008E7D26"/>
    <w:rsid w:val="008F362C"/>
    <w:rsid w:val="008F3874"/>
    <w:rsid w:val="008F4607"/>
    <w:rsid w:val="0090012A"/>
    <w:rsid w:val="009011A2"/>
    <w:rsid w:val="009022F5"/>
    <w:rsid w:val="0090462C"/>
    <w:rsid w:val="00904986"/>
    <w:rsid w:val="00904E7F"/>
    <w:rsid w:val="009073B8"/>
    <w:rsid w:val="00910840"/>
    <w:rsid w:val="00913A01"/>
    <w:rsid w:val="00916FA1"/>
    <w:rsid w:val="009173A5"/>
    <w:rsid w:val="00917458"/>
    <w:rsid w:val="00921599"/>
    <w:rsid w:val="00922C25"/>
    <w:rsid w:val="009300CA"/>
    <w:rsid w:val="00930B02"/>
    <w:rsid w:val="00931D3D"/>
    <w:rsid w:val="00932164"/>
    <w:rsid w:val="00932721"/>
    <w:rsid w:val="0093305E"/>
    <w:rsid w:val="00934A20"/>
    <w:rsid w:val="00935736"/>
    <w:rsid w:val="00940EC4"/>
    <w:rsid w:val="00942D0F"/>
    <w:rsid w:val="00946750"/>
    <w:rsid w:val="00951BE7"/>
    <w:rsid w:val="00953C5C"/>
    <w:rsid w:val="00954D8F"/>
    <w:rsid w:val="009558D9"/>
    <w:rsid w:val="00955B54"/>
    <w:rsid w:val="00956382"/>
    <w:rsid w:val="0095736F"/>
    <w:rsid w:val="009623CA"/>
    <w:rsid w:val="00964104"/>
    <w:rsid w:val="00964CF9"/>
    <w:rsid w:val="00965EA2"/>
    <w:rsid w:val="00966A49"/>
    <w:rsid w:val="00967C3B"/>
    <w:rsid w:val="00970838"/>
    <w:rsid w:val="009720E5"/>
    <w:rsid w:val="00972711"/>
    <w:rsid w:val="009737A7"/>
    <w:rsid w:val="00975015"/>
    <w:rsid w:val="009770FC"/>
    <w:rsid w:val="00977A43"/>
    <w:rsid w:val="009804FC"/>
    <w:rsid w:val="009824B5"/>
    <w:rsid w:val="00982DD7"/>
    <w:rsid w:val="009903DE"/>
    <w:rsid w:val="009911CE"/>
    <w:rsid w:val="00991D92"/>
    <w:rsid w:val="00995818"/>
    <w:rsid w:val="009972FA"/>
    <w:rsid w:val="009A1F7B"/>
    <w:rsid w:val="009A211D"/>
    <w:rsid w:val="009B11AF"/>
    <w:rsid w:val="009B2A01"/>
    <w:rsid w:val="009B4772"/>
    <w:rsid w:val="009B62C6"/>
    <w:rsid w:val="009B69D6"/>
    <w:rsid w:val="009B6F42"/>
    <w:rsid w:val="009B70C7"/>
    <w:rsid w:val="009B7A54"/>
    <w:rsid w:val="009C0A33"/>
    <w:rsid w:val="009C0ED8"/>
    <w:rsid w:val="009C407F"/>
    <w:rsid w:val="009C6175"/>
    <w:rsid w:val="009C6F1A"/>
    <w:rsid w:val="009D0180"/>
    <w:rsid w:val="009D15CF"/>
    <w:rsid w:val="009D2B18"/>
    <w:rsid w:val="009D3269"/>
    <w:rsid w:val="009D3B33"/>
    <w:rsid w:val="009D57EA"/>
    <w:rsid w:val="009E1B7F"/>
    <w:rsid w:val="009E2D10"/>
    <w:rsid w:val="009E359D"/>
    <w:rsid w:val="009E698A"/>
    <w:rsid w:val="009F1E76"/>
    <w:rsid w:val="009F3976"/>
    <w:rsid w:val="009F4FE4"/>
    <w:rsid w:val="009F5003"/>
    <w:rsid w:val="009F68E3"/>
    <w:rsid w:val="00A0035B"/>
    <w:rsid w:val="00A00D2C"/>
    <w:rsid w:val="00A01386"/>
    <w:rsid w:val="00A03F26"/>
    <w:rsid w:val="00A06B59"/>
    <w:rsid w:val="00A11C5B"/>
    <w:rsid w:val="00A12278"/>
    <w:rsid w:val="00A12D68"/>
    <w:rsid w:val="00A14762"/>
    <w:rsid w:val="00A24DB1"/>
    <w:rsid w:val="00A25A6E"/>
    <w:rsid w:val="00A26335"/>
    <w:rsid w:val="00A26817"/>
    <w:rsid w:val="00A3074C"/>
    <w:rsid w:val="00A3185E"/>
    <w:rsid w:val="00A32B66"/>
    <w:rsid w:val="00A32DBE"/>
    <w:rsid w:val="00A33C2A"/>
    <w:rsid w:val="00A33EBD"/>
    <w:rsid w:val="00A34762"/>
    <w:rsid w:val="00A359E5"/>
    <w:rsid w:val="00A35F5C"/>
    <w:rsid w:val="00A3775A"/>
    <w:rsid w:val="00A40CA7"/>
    <w:rsid w:val="00A429EE"/>
    <w:rsid w:val="00A46F39"/>
    <w:rsid w:val="00A53AF1"/>
    <w:rsid w:val="00A54577"/>
    <w:rsid w:val="00A54F66"/>
    <w:rsid w:val="00A556CB"/>
    <w:rsid w:val="00A5623F"/>
    <w:rsid w:val="00A6212B"/>
    <w:rsid w:val="00A652E5"/>
    <w:rsid w:val="00A66E2B"/>
    <w:rsid w:val="00A6755E"/>
    <w:rsid w:val="00A72D39"/>
    <w:rsid w:val="00A72D7F"/>
    <w:rsid w:val="00A745BA"/>
    <w:rsid w:val="00A754A7"/>
    <w:rsid w:val="00A75A37"/>
    <w:rsid w:val="00A75A9B"/>
    <w:rsid w:val="00A76A68"/>
    <w:rsid w:val="00A800CD"/>
    <w:rsid w:val="00A8058E"/>
    <w:rsid w:val="00A8195A"/>
    <w:rsid w:val="00A81E54"/>
    <w:rsid w:val="00A83436"/>
    <w:rsid w:val="00A83815"/>
    <w:rsid w:val="00A85253"/>
    <w:rsid w:val="00A85534"/>
    <w:rsid w:val="00A87AA9"/>
    <w:rsid w:val="00A91C27"/>
    <w:rsid w:val="00A93514"/>
    <w:rsid w:val="00A94FC3"/>
    <w:rsid w:val="00A95621"/>
    <w:rsid w:val="00AA0560"/>
    <w:rsid w:val="00AA21DD"/>
    <w:rsid w:val="00AA2284"/>
    <w:rsid w:val="00AA4F2D"/>
    <w:rsid w:val="00AA6214"/>
    <w:rsid w:val="00AB4A3F"/>
    <w:rsid w:val="00AB4A40"/>
    <w:rsid w:val="00AC00D4"/>
    <w:rsid w:val="00AC0749"/>
    <w:rsid w:val="00AC2D94"/>
    <w:rsid w:val="00AC4588"/>
    <w:rsid w:val="00AC520E"/>
    <w:rsid w:val="00AD0D66"/>
    <w:rsid w:val="00AD1423"/>
    <w:rsid w:val="00AD1794"/>
    <w:rsid w:val="00AD38B7"/>
    <w:rsid w:val="00AD4DAF"/>
    <w:rsid w:val="00AD510A"/>
    <w:rsid w:val="00AD5940"/>
    <w:rsid w:val="00AE00BB"/>
    <w:rsid w:val="00AE0EF4"/>
    <w:rsid w:val="00AE0F4B"/>
    <w:rsid w:val="00AE2CDE"/>
    <w:rsid w:val="00AE45C5"/>
    <w:rsid w:val="00AE5788"/>
    <w:rsid w:val="00AE6E29"/>
    <w:rsid w:val="00AF185E"/>
    <w:rsid w:val="00AF4A5E"/>
    <w:rsid w:val="00AF4E6C"/>
    <w:rsid w:val="00AF7E4B"/>
    <w:rsid w:val="00B0159C"/>
    <w:rsid w:val="00B03EEF"/>
    <w:rsid w:val="00B058C5"/>
    <w:rsid w:val="00B12BA9"/>
    <w:rsid w:val="00B15311"/>
    <w:rsid w:val="00B1776B"/>
    <w:rsid w:val="00B17D8D"/>
    <w:rsid w:val="00B21C46"/>
    <w:rsid w:val="00B250EF"/>
    <w:rsid w:val="00B26FC8"/>
    <w:rsid w:val="00B320B3"/>
    <w:rsid w:val="00B34129"/>
    <w:rsid w:val="00B35ADE"/>
    <w:rsid w:val="00B36709"/>
    <w:rsid w:val="00B36821"/>
    <w:rsid w:val="00B434F6"/>
    <w:rsid w:val="00B4407E"/>
    <w:rsid w:val="00B44F53"/>
    <w:rsid w:val="00B46E82"/>
    <w:rsid w:val="00B5098B"/>
    <w:rsid w:val="00B512D4"/>
    <w:rsid w:val="00B5207F"/>
    <w:rsid w:val="00B52756"/>
    <w:rsid w:val="00B536BD"/>
    <w:rsid w:val="00B536FC"/>
    <w:rsid w:val="00B54F31"/>
    <w:rsid w:val="00B56B8D"/>
    <w:rsid w:val="00B60A8A"/>
    <w:rsid w:val="00B61931"/>
    <w:rsid w:val="00B6407B"/>
    <w:rsid w:val="00B66DBB"/>
    <w:rsid w:val="00B672EA"/>
    <w:rsid w:val="00B674CA"/>
    <w:rsid w:val="00B7120C"/>
    <w:rsid w:val="00B743E3"/>
    <w:rsid w:val="00B767DC"/>
    <w:rsid w:val="00B76DCF"/>
    <w:rsid w:val="00B76DD5"/>
    <w:rsid w:val="00B80419"/>
    <w:rsid w:val="00B805CF"/>
    <w:rsid w:val="00B80F2B"/>
    <w:rsid w:val="00B8209B"/>
    <w:rsid w:val="00B8619F"/>
    <w:rsid w:val="00B86B25"/>
    <w:rsid w:val="00B871C9"/>
    <w:rsid w:val="00B87C13"/>
    <w:rsid w:val="00B90036"/>
    <w:rsid w:val="00B902B3"/>
    <w:rsid w:val="00B9270B"/>
    <w:rsid w:val="00B96C17"/>
    <w:rsid w:val="00B97001"/>
    <w:rsid w:val="00BA0446"/>
    <w:rsid w:val="00BA3BB8"/>
    <w:rsid w:val="00BB26F9"/>
    <w:rsid w:val="00BB52CF"/>
    <w:rsid w:val="00BB6E24"/>
    <w:rsid w:val="00BB7595"/>
    <w:rsid w:val="00BC043E"/>
    <w:rsid w:val="00BC1109"/>
    <w:rsid w:val="00BC36CC"/>
    <w:rsid w:val="00BC5BE9"/>
    <w:rsid w:val="00BC5D20"/>
    <w:rsid w:val="00BD329A"/>
    <w:rsid w:val="00BD3D5D"/>
    <w:rsid w:val="00BD46B0"/>
    <w:rsid w:val="00BD4B3C"/>
    <w:rsid w:val="00BD52A9"/>
    <w:rsid w:val="00BD5B8E"/>
    <w:rsid w:val="00BD6933"/>
    <w:rsid w:val="00BD7118"/>
    <w:rsid w:val="00BE18E7"/>
    <w:rsid w:val="00BE31A7"/>
    <w:rsid w:val="00BE5C3A"/>
    <w:rsid w:val="00BE6E7D"/>
    <w:rsid w:val="00BF4928"/>
    <w:rsid w:val="00BF578D"/>
    <w:rsid w:val="00BF6555"/>
    <w:rsid w:val="00BF6FAA"/>
    <w:rsid w:val="00C01098"/>
    <w:rsid w:val="00C01676"/>
    <w:rsid w:val="00C02EF1"/>
    <w:rsid w:val="00C04CCC"/>
    <w:rsid w:val="00C0752D"/>
    <w:rsid w:val="00C10355"/>
    <w:rsid w:val="00C11326"/>
    <w:rsid w:val="00C1194F"/>
    <w:rsid w:val="00C121F7"/>
    <w:rsid w:val="00C1565E"/>
    <w:rsid w:val="00C172F4"/>
    <w:rsid w:val="00C17697"/>
    <w:rsid w:val="00C220A7"/>
    <w:rsid w:val="00C246FC"/>
    <w:rsid w:val="00C34D1A"/>
    <w:rsid w:val="00C35E54"/>
    <w:rsid w:val="00C42A87"/>
    <w:rsid w:val="00C430FE"/>
    <w:rsid w:val="00C44297"/>
    <w:rsid w:val="00C447CA"/>
    <w:rsid w:val="00C45E4D"/>
    <w:rsid w:val="00C46B22"/>
    <w:rsid w:val="00C47233"/>
    <w:rsid w:val="00C505A4"/>
    <w:rsid w:val="00C51F4B"/>
    <w:rsid w:val="00C532E7"/>
    <w:rsid w:val="00C53AC1"/>
    <w:rsid w:val="00C53ACF"/>
    <w:rsid w:val="00C5519E"/>
    <w:rsid w:val="00C55AF7"/>
    <w:rsid w:val="00C56516"/>
    <w:rsid w:val="00C56647"/>
    <w:rsid w:val="00C56BC5"/>
    <w:rsid w:val="00C6001B"/>
    <w:rsid w:val="00C624ED"/>
    <w:rsid w:val="00C645E4"/>
    <w:rsid w:val="00C6539D"/>
    <w:rsid w:val="00C710C5"/>
    <w:rsid w:val="00C7175D"/>
    <w:rsid w:val="00C71F23"/>
    <w:rsid w:val="00C7497A"/>
    <w:rsid w:val="00C75A63"/>
    <w:rsid w:val="00C774BE"/>
    <w:rsid w:val="00C80C7D"/>
    <w:rsid w:val="00C82081"/>
    <w:rsid w:val="00C83FBF"/>
    <w:rsid w:val="00C84C75"/>
    <w:rsid w:val="00C8549C"/>
    <w:rsid w:val="00C8552A"/>
    <w:rsid w:val="00C858D7"/>
    <w:rsid w:val="00C86FFA"/>
    <w:rsid w:val="00C87304"/>
    <w:rsid w:val="00C917CA"/>
    <w:rsid w:val="00C92176"/>
    <w:rsid w:val="00C92B60"/>
    <w:rsid w:val="00C93DB4"/>
    <w:rsid w:val="00C94B85"/>
    <w:rsid w:val="00C95DCD"/>
    <w:rsid w:val="00C96730"/>
    <w:rsid w:val="00CA1C8D"/>
    <w:rsid w:val="00CA2BA9"/>
    <w:rsid w:val="00CA3464"/>
    <w:rsid w:val="00CA4771"/>
    <w:rsid w:val="00CA4975"/>
    <w:rsid w:val="00CA500F"/>
    <w:rsid w:val="00CA5C5A"/>
    <w:rsid w:val="00CA769A"/>
    <w:rsid w:val="00CB0662"/>
    <w:rsid w:val="00CB090D"/>
    <w:rsid w:val="00CB3E0B"/>
    <w:rsid w:val="00CB4509"/>
    <w:rsid w:val="00CB4A93"/>
    <w:rsid w:val="00CC1D7B"/>
    <w:rsid w:val="00CC742C"/>
    <w:rsid w:val="00CD2119"/>
    <w:rsid w:val="00CD268F"/>
    <w:rsid w:val="00CD4F60"/>
    <w:rsid w:val="00CD6D81"/>
    <w:rsid w:val="00CD79E3"/>
    <w:rsid w:val="00CE38EA"/>
    <w:rsid w:val="00CE578E"/>
    <w:rsid w:val="00CE6408"/>
    <w:rsid w:val="00CE677B"/>
    <w:rsid w:val="00CF4C3A"/>
    <w:rsid w:val="00D0016C"/>
    <w:rsid w:val="00D00ADD"/>
    <w:rsid w:val="00D03276"/>
    <w:rsid w:val="00D03A8B"/>
    <w:rsid w:val="00D03C25"/>
    <w:rsid w:val="00D059AD"/>
    <w:rsid w:val="00D05B46"/>
    <w:rsid w:val="00D05BC3"/>
    <w:rsid w:val="00D06D43"/>
    <w:rsid w:val="00D15815"/>
    <w:rsid w:val="00D16C2D"/>
    <w:rsid w:val="00D17EED"/>
    <w:rsid w:val="00D20A98"/>
    <w:rsid w:val="00D2212F"/>
    <w:rsid w:val="00D24147"/>
    <w:rsid w:val="00D25932"/>
    <w:rsid w:val="00D27574"/>
    <w:rsid w:val="00D278C5"/>
    <w:rsid w:val="00D30027"/>
    <w:rsid w:val="00D30F85"/>
    <w:rsid w:val="00D31805"/>
    <w:rsid w:val="00D32E65"/>
    <w:rsid w:val="00D33C09"/>
    <w:rsid w:val="00D340A1"/>
    <w:rsid w:val="00D34CBB"/>
    <w:rsid w:val="00D36B1B"/>
    <w:rsid w:val="00D376E1"/>
    <w:rsid w:val="00D4029B"/>
    <w:rsid w:val="00D44BF1"/>
    <w:rsid w:val="00D44E2E"/>
    <w:rsid w:val="00D47C08"/>
    <w:rsid w:val="00D51300"/>
    <w:rsid w:val="00D5579C"/>
    <w:rsid w:val="00D55D69"/>
    <w:rsid w:val="00D61D2A"/>
    <w:rsid w:val="00D64009"/>
    <w:rsid w:val="00D70362"/>
    <w:rsid w:val="00D7285A"/>
    <w:rsid w:val="00D74D9E"/>
    <w:rsid w:val="00D761A1"/>
    <w:rsid w:val="00D77A98"/>
    <w:rsid w:val="00D81BF8"/>
    <w:rsid w:val="00D8213F"/>
    <w:rsid w:val="00D83A8C"/>
    <w:rsid w:val="00D8452C"/>
    <w:rsid w:val="00D86AB8"/>
    <w:rsid w:val="00D90EC9"/>
    <w:rsid w:val="00D91AA8"/>
    <w:rsid w:val="00DA3BF4"/>
    <w:rsid w:val="00DA3C1A"/>
    <w:rsid w:val="00DB2DD1"/>
    <w:rsid w:val="00DB320C"/>
    <w:rsid w:val="00DB3485"/>
    <w:rsid w:val="00DB356A"/>
    <w:rsid w:val="00DB4161"/>
    <w:rsid w:val="00DB7D37"/>
    <w:rsid w:val="00DC272B"/>
    <w:rsid w:val="00DC2B59"/>
    <w:rsid w:val="00DC2CF8"/>
    <w:rsid w:val="00DC460F"/>
    <w:rsid w:val="00DC5E91"/>
    <w:rsid w:val="00DC638C"/>
    <w:rsid w:val="00DC74BC"/>
    <w:rsid w:val="00DC7E5E"/>
    <w:rsid w:val="00DD0132"/>
    <w:rsid w:val="00DD1C49"/>
    <w:rsid w:val="00DD1F3A"/>
    <w:rsid w:val="00DD31CA"/>
    <w:rsid w:val="00DD47BF"/>
    <w:rsid w:val="00DD6B0C"/>
    <w:rsid w:val="00DD7606"/>
    <w:rsid w:val="00DE23DB"/>
    <w:rsid w:val="00DE3F89"/>
    <w:rsid w:val="00DE46E4"/>
    <w:rsid w:val="00DE4E8D"/>
    <w:rsid w:val="00DF0EC8"/>
    <w:rsid w:val="00DF1258"/>
    <w:rsid w:val="00DF23B0"/>
    <w:rsid w:val="00DF3459"/>
    <w:rsid w:val="00DF4109"/>
    <w:rsid w:val="00DF67F5"/>
    <w:rsid w:val="00DF6A9E"/>
    <w:rsid w:val="00DF6C8A"/>
    <w:rsid w:val="00DF74BF"/>
    <w:rsid w:val="00DF79CF"/>
    <w:rsid w:val="00DF7C2E"/>
    <w:rsid w:val="00E00200"/>
    <w:rsid w:val="00E038ED"/>
    <w:rsid w:val="00E05307"/>
    <w:rsid w:val="00E10BF8"/>
    <w:rsid w:val="00E123D4"/>
    <w:rsid w:val="00E12EEF"/>
    <w:rsid w:val="00E14933"/>
    <w:rsid w:val="00E16093"/>
    <w:rsid w:val="00E17A75"/>
    <w:rsid w:val="00E24288"/>
    <w:rsid w:val="00E25D21"/>
    <w:rsid w:val="00E26C0D"/>
    <w:rsid w:val="00E27322"/>
    <w:rsid w:val="00E27F5A"/>
    <w:rsid w:val="00E3031E"/>
    <w:rsid w:val="00E30793"/>
    <w:rsid w:val="00E31F2B"/>
    <w:rsid w:val="00E35ECB"/>
    <w:rsid w:val="00E40624"/>
    <w:rsid w:val="00E4139C"/>
    <w:rsid w:val="00E4196B"/>
    <w:rsid w:val="00E420CC"/>
    <w:rsid w:val="00E43C4B"/>
    <w:rsid w:val="00E46871"/>
    <w:rsid w:val="00E46CEE"/>
    <w:rsid w:val="00E50FBA"/>
    <w:rsid w:val="00E5285F"/>
    <w:rsid w:val="00E56AD8"/>
    <w:rsid w:val="00E65EB0"/>
    <w:rsid w:val="00E70CE2"/>
    <w:rsid w:val="00E71238"/>
    <w:rsid w:val="00E713B9"/>
    <w:rsid w:val="00E71950"/>
    <w:rsid w:val="00E73E18"/>
    <w:rsid w:val="00E74CB3"/>
    <w:rsid w:val="00E759E6"/>
    <w:rsid w:val="00E75CFD"/>
    <w:rsid w:val="00E77962"/>
    <w:rsid w:val="00E77F06"/>
    <w:rsid w:val="00E8073B"/>
    <w:rsid w:val="00E81240"/>
    <w:rsid w:val="00E81913"/>
    <w:rsid w:val="00E8673C"/>
    <w:rsid w:val="00E8770B"/>
    <w:rsid w:val="00E909E8"/>
    <w:rsid w:val="00E91854"/>
    <w:rsid w:val="00E928EB"/>
    <w:rsid w:val="00E95D7F"/>
    <w:rsid w:val="00E9600B"/>
    <w:rsid w:val="00E962B8"/>
    <w:rsid w:val="00E96B3A"/>
    <w:rsid w:val="00E97F1D"/>
    <w:rsid w:val="00EA560B"/>
    <w:rsid w:val="00EA5966"/>
    <w:rsid w:val="00EA59B2"/>
    <w:rsid w:val="00EB4D56"/>
    <w:rsid w:val="00EB6283"/>
    <w:rsid w:val="00EB7735"/>
    <w:rsid w:val="00EC1E73"/>
    <w:rsid w:val="00EC2129"/>
    <w:rsid w:val="00EC2619"/>
    <w:rsid w:val="00EC2FB3"/>
    <w:rsid w:val="00EC3078"/>
    <w:rsid w:val="00EC3734"/>
    <w:rsid w:val="00EC79CE"/>
    <w:rsid w:val="00ED029F"/>
    <w:rsid w:val="00ED39D4"/>
    <w:rsid w:val="00ED4177"/>
    <w:rsid w:val="00ED5E34"/>
    <w:rsid w:val="00ED60DD"/>
    <w:rsid w:val="00EE0508"/>
    <w:rsid w:val="00EE0640"/>
    <w:rsid w:val="00EE10A2"/>
    <w:rsid w:val="00EE19CF"/>
    <w:rsid w:val="00EE24C4"/>
    <w:rsid w:val="00EE25D1"/>
    <w:rsid w:val="00EE4492"/>
    <w:rsid w:val="00EE5504"/>
    <w:rsid w:val="00EE68F5"/>
    <w:rsid w:val="00EF3786"/>
    <w:rsid w:val="00EF463F"/>
    <w:rsid w:val="00EF4DE2"/>
    <w:rsid w:val="00EF5382"/>
    <w:rsid w:val="00EF5DAE"/>
    <w:rsid w:val="00EF6B46"/>
    <w:rsid w:val="00F01F1F"/>
    <w:rsid w:val="00F02310"/>
    <w:rsid w:val="00F0390B"/>
    <w:rsid w:val="00F05FBC"/>
    <w:rsid w:val="00F07FB8"/>
    <w:rsid w:val="00F15F48"/>
    <w:rsid w:val="00F163F1"/>
    <w:rsid w:val="00F2120D"/>
    <w:rsid w:val="00F217E7"/>
    <w:rsid w:val="00F25C27"/>
    <w:rsid w:val="00F301AA"/>
    <w:rsid w:val="00F30942"/>
    <w:rsid w:val="00F316D9"/>
    <w:rsid w:val="00F3305D"/>
    <w:rsid w:val="00F3313C"/>
    <w:rsid w:val="00F37353"/>
    <w:rsid w:val="00F4072E"/>
    <w:rsid w:val="00F42402"/>
    <w:rsid w:val="00F43B82"/>
    <w:rsid w:val="00F4583F"/>
    <w:rsid w:val="00F460B3"/>
    <w:rsid w:val="00F50879"/>
    <w:rsid w:val="00F60318"/>
    <w:rsid w:val="00F6282E"/>
    <w:rsid w:val="00F6328A"/>
    <w:rsid w:val="00F63B6C"/>
    <w:rsid w:val="00F64714"/>
    <w:rsid w:val="00F6621E"/>
    <w:rsid w:val="00F67E8C"/>
    <w:rsid w:val="00F72A6A"/>
    <w:rsid w:val="00F72F28"/>
    <w:rsid w:val="00F733FC"/>
    <w:rsid w:val="00F74126"/>
    <w:rsid w:val="00F748FE"/>
    <w:rsid w:val="00F75993"/>
    <w:rsid w:val="00F91643"/>
    <w:rsid w:val="00F918FA"/>
    <w:rsid w:val="00F92C13"/>
    <w:rsid w:val="00F93682"/>
    <w:rsid w:val="00F93BDA"/>
    <w:rsid w:val="00F94058"/>
    <w:rsid w:val="00F94A70"/>
    <w:rsid w:val="00F95316"/>
    <w:rsid w:val="00F953A7"/>
    <w:rsid w:val="00F95998"/>
    <w:rsid w:val="00F95AB3"/>
    <w:rsid w:val="00F95BA3"/>
    <w:rsid w:val="00F96C8F"/>
    <w:rsid w:val="00F970EF"/>
    <w:rsid w:val="00FA42DE"/>
    <w:rsid w:val="00FA59D7"/>
    <w:rsid w:val="00FA6D3D"/>
    <w:rsid w:val="00FB1564"/>
    <w:rsid w:val="00FB323A"/>
    <w:rsid w:val="00FB4E08"/>
    <w:rsid w:val="00FB5CC4"/>
    <w:rsid w:val="00FB6093"/>
    <w:rsid w:val="00FC0596"/>
    <w:rsid w:val="00FC1181"/>
    <w:rsid w:val="00FC3628"/>
    <w:rsid w:val="00FC3C2A"/>
    <w:rsid w:val="00FC3F90"/>
    <w:rsid w:val="00FC4179"/>
    <w:rsid w:val="00FC60DA"/>
    <w:rsid w:val="00FC7DA7"/>
    <w:rsid w:val="00FD2226"/>
    <w:rsid w:val="00FD2656"/>
    <w:rsid w:val="00FD4B16"/>
    <w:rsid w:val="00FD76B0"/>
    <w:rsid w:val="00FE121D"/>
    <w:rsid w:val="00FE1E4A"/>
    <w:rsid w:val="00FE3394"/>
    <w:rsid w:val="00FE3AFA"/>
    <w:rsid w:val="00FE3C69"/>
    <w:rsid w:val="00FE4542"/>
    <w:rsid w:val="00FE5306"/>
    <w:rsid w:val="00FE6991"/>
    <w:rsid w:val="00FE7784"/>
    <w:rsid w:val="00FE78DC"/>
    <w:rsid w:val="00FE79ED"/>
    <w:rsid w:val="00FF1980"/>
    <w:rsid w:val="00FF3016"/>
    <w:rsid w:val="00FF321C"/>
    <w:rsid w:val="00FF58F0"/>
    <w:rsid w:val="00FF660C"/>
    <w:rsid w:val="00FF75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Calibri"/>
        <w:sz w:val="24"/>
        <w:szCs w:val="24"/>
        <w:lang w:val="es-ES" w:eastAsia="en-US"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66975"/>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semiHidden/>
    <w:rsid w:val="00866975"/>
  </w:style>
  <w:style w:type="paragraph" w:styleId="Piedepgina">
    <w:name w:val="footer"/>
    <w:basedOn w:val="Normal"/>
    <w:link w:val="PiedepginaCar"/>
    <w:uiPriority w:val="99"/>
    <w:unhideWhenUsed/>
    <w:rsid w:val="0086697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866975"/>
  </w:style>
  <w:style w:type="paragraph" w:styleId="Prrafodelista">
    <w:name w:val="List Paragraph"/>
    <w:basedOn w:val="Normal"/>
    <w:uiPriority w:val="34"/>
    <w:qFormat/>
    <w:rsid w:val="00866975"/>
    <w:pPr>
      <w:ind w:left="720"/>
      <w:contextualSpacing/>
    </w:pPr>
  </w:style>
  <w:style w:type="paragraph" w:styleId="Textonotapie">
    <w:name w:val="footnote text"/>
    <w:basedOn w:val="Normal"/>
    <w:link w:val="TextonotapieCar"/>
    <w:uiPriority w:val="99"/>
    <w:unhideWhenUsed/>
    <w:rsid w:val="00546269"/>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546269"/>
    <w:rPr>
      <w:sz w:val="20"/>
      <w:szCs w:val="20"/>
    </w:rPr>
  </w:style>
  <w:style w:type="character" w:styleId="Refdenotaalpie">
    <w:name w:val="footnote reference"/>
    <w:basedOn w:val="Fuentedeprrafopredeter"/>
    <w:uiPriority w:val="99"/>
    <w:semiHidden/>
    <w:unhideWhenUsed/>
    <w:rsid w:val="00546269"/>
    <w:rPr>
      <w:vertAlign w:val="superscript"/>
    </w:rPr>
  </w:style>
  <w:style w:type="character" w:customStyle="1" w:styleId="highlight">
    <w:name w:val="highlight"/>
    <w:basedOn w:val="Fuentedeprrafopredeter"/>
    <w:rsid w:val="00300FB3"/>
  </w:style>
  <w:style w:type="character" w:styleId="Hipervnculo">
    <w:name w:val="Hyperlink"/>
    <w:basedOn w:val="Fuentedeprrafopredeter"/>
    <w:uiPriority w:val="99"/>
    <w:semiHidden/>
    <w:unhideWhenUsed/>
    <w:rsid w:val="001A071A"/>
    <w:rPr>
      <w:color w:val="0000FF"/>
      <w:u w:val="single"/>
    </w:rPr>
  </w:style>
  <w:style w:type="paragraph" w:styleId="NormalWeb">
    <w:name w:val="Normal (Web)"/>
    <w:basedOn w:val="Normal"/>
    <w:uiPriority w:val="99"/>
    <w:unhideWhenUsed/>
    <w:rsid w:val="009B69D6"/>
    <w:pPr>
      <w:spacing w:before="100" w:beforeAutospacing="1" w:after="100" w:afterAutospacing="1" w:line="240" w:lineRule="auto"/>
      <w:jc w:val="left"/>
    </w:pPr>
    <w:rPr>
      <w:rFonts w:ascii="Times New Roman" w:eastAsia="Times New Roman" w:hAnsi="Times New Roman" w:cs="Times New Roman"/>
      <w:lang w:eastAsia="es-ES"/>
    </w:rPr>
  </w:style>
  <w:style w:type="character" w:customStyle="1" w:styleId="normal0">
    <w:name w:val="normal"/>
    <w:basedOn w:val="Fuentedeprrafopredeter"/>
    <w:rsid w:val="00295EBD"/>
  </w:style>
  <w:style w:type="paragraph" w:customStyle="1" w:styleId="simple">
    <w:name w:val="simple"/>
    <w:basedOn w:val="Normal"/>
    <w:rsid w:val="008357E9"/>
    <w:pPr>
      <w:spacing w:before="100" w:beforeAutospacing="1" w:after="100" w:afterAutospacing="1" w:line="240" w:lineRule="auto"/>
      <w:jc w:val="left"/>
    </w:pPr>
    <w:rPr>
      <w:rFonts w:ascii="Times New Roman" w:eastAsia="Times New Roman" w:hAnsi="Times New Roman" w:cs="Times New Roman"/>
      <w:lang w:eastAsia="es-ES"/>
    </w:rPr>
  </w:style>
  <w:style w:type="character" w:customStyle="1" w:styleId="ntollista">
    <w:name w:val="ntollista"/>
    <w:basedOn w:val="Fuentedeprrafopredeter"/>
    <w:rsid w:val="00A46F39"/>
  </w:style>
  <w:style w:type="character" w:customStyle="1" w:styleId="markm34t39qro">
    <w:name w:val="markm34t39qro"/>
    <w:basedOn w:val="Fuentedeprrafopredeter"/>
    <w:rsid w:val="00B80419"/>
  </w:style>
  <w:style w:type="character" w:customStyle="1" w:styleId="marklxce9eyut">
    <w:name w:val="marklxce9eyut"/>
    <w:basedOn w:val="Fuentedeprrafopredeter"/>
    <w:rsid w:val="00B80419"/>
  </w:style>
  <w:style w:type="character" w:styleId="Textoennegrita">
    <w:name w:val="Strong"/>
    <w:basedOn w:val="Fuentedeprrafopredeter"/>
    <w:uiPriority w:val="22"/>
    <w:qFormat/>
    <w:rsid w:val="00B80419"/>
    <w:rPr>
      <w:b/>
      <w:bCs/>
    </w:rPr>
  </w:style>
  <w:style w:type="character" w:customStyle="1" w:styleId="negrita">
    <w:name w:val="negrita"/>
    <w:basedOn w:val="Fuentedeprrafopredeter"/>
    <w:rsid w:val="009C0ED8"/>
  </w:style>
  <w:style w:type="paragraph" w:customStyle="1" w:styleId="doble">
    <w:name w:val="doble"/>
    <w:basedOn w:val="Normal"/>
    <w:rsid w:val="007229B0"/>
    <w:pPr>
      <w:spacing w:before="100" w:beforeAutospacing="1" w:after="100" w:afterAutospacing="1" w:line="240" w:lineRule="auto"/>
      <w:jc w:val="left"/>
    </w:pPr>
    <w:rPr>
      <w:rFonts w:ascii="Times New Roman" w:eastAsia="Times New Roman" w:hAnsi="Times New Roman" w:cs="Times New Roman"/>
      <w:lang w:eastAsia="es-ES"/>
    </w:rPr>
  </w:style>
  <w:style w:type="paragraph" w:customStyle="1" w:styleId="parrafo">
    <w:name w:val="parrafo"/>
    <w:basedOn w:val="Normal"/>
    <w:rsid w:val="00573655"/>
    <w:pPr>
      <w:spacing w:before="100" w:beforeAutospacing="1" w:after="100" w:afterAutospacing="1" w:line="240" w:lineRule="auto"/>
      <w:jc w:val="left"/>
    </w:pPr>
    <w:rPr>
      <w:rFonts w:ascii="Times New Roman" w:eastAsia="Times New Roman" w:hAnsi="Times New Roman" w:cs="Times New Roman"/>
      <w:lang w:eastAsia="es-ES"/>
    </w:rPr>
  </w:style>
  <w:style w:type="character" w:styleId="nfasis">
    <w:name w:val="Emphasis"/>
    <w:basedOn w:val="Fuentedeprrafopredeter"/>
    <w:uiPriority w:val="20"/>
    <w:qFormat/>
    <w:rsid w:val="003F7DCD"/>
    <w:rPr>
      <w:i/>
      <w:iCs/>
    </w:rPr>
  </w:style>
  <w:style w:type="paragraph" w:customStyle="1" w:styleId="sangrado">
    <w:name w:val="sangrado"/>
    <w:basedOn w:val="Normal"/>
    <w:rsid w:val="003115DD"/>
    <w:pPr>
      <w:spacing w:before="100" w:beforeAutospacing="1" w:after="100" w:afterAutospacing="1" w:line="240" w:lineRule="auto"/>
      <w:jc w:val="left"/>
    </w:pPr>
    <w:rPr>
      <w:rFonts w:ascii="Times New Roman" w:eastAsia="Times New Roman" w:hAnsi="Times New Roman" w:cs="Times New Roman"/>
      <w:lang w:eastAsia="es-ES"/>
    </w:rPr>
  </w:style>
</w:styles>
</file>

<file path=word/webSettings.xml><?xml version="1.0" encoding="utf-8"?>
<w:webSettings xmlns:r="http://schemas.openxmlformats.org/officeDocument/2006/relationships" xmlns:w="http://schemas.openxmlformats.org/wordprocessingml/2006/main">
  <w:divs>
    <w:div w:id="20251832">
      <w:bodyDiv w:val="1"/>
      <w:marLeft w:val="0"/>
      <w:marRight w:val="0"/>
      <w:marTop w:val="0"/>
      <w:marBottom w:val="0"/>
      <w:divBdr>
        <w:top w:val="none" w:sz="0" w:space="0" w:color="auto"/>
        <w:left w:val="none" w:sz="0" w:space="0" w:color="auto"/>
        <w:bottom w:val="none" w:sz="0" w:space="0" w:color="auto"/>
        <w:right w:val="none" w:sz="0" w:space="0" w:color="auto"/>
      </w:divBdr>
    </w:div>
    <w:div w:id="171574414">
      <w:bodyDiv w:val="1"/>
      <w:marLeft w:val="0"/>
      <w:marRight w:val="0"/>
      <w:marTop w:val="0"/>
      <w:marBottom w:val="0"/>
      <w:divBdr>
        <w:top w:val="none" w:sz="0" w:space="0" w:color="auto"/>
        <w:left w:val="none" w:sz="0" w:space="0" w:color="auto"/>
        <w:bottom w:val="none" w:sz="0" w:space="0" w:color="auto"/>
        <w:right w:val="none" w:sz="0" w:space="0" w:color="auto"/>
      </w:divBdr>
    </w:div>
    <w:div w:id="173493628">
      <w:bodyDiv w:val="1"/>
      <w:marLeft w:val="0"/>
      <w:marRight w:val="0"/>
      <w:marTop w:val="0"/>
      <w:marBottom w:val="0"/>
      <w:divBdr>
        <w:top w:val="none" w:sz="0" w:space="0" w:color="auto"/>
        <w:left w:val="none" w:sz="0" w:space="0" w:color="auto"/>
        <w:bottom w:val="none" w:sz="0" w:space="0" w:color="auto"/>
        <w:right w:val="none" w:sz="0" w:space="0" w:color="auto"/>
      </w:divBdr>
    </w:div>
    <w:div w:id="211968775">
      <w:bodyDiv w:val="1"/>
      <w:marLeft w:val="0"/>
      <w:marRight w:val="0"/>
      <w:marTop w:val="0"/>
      <w:marBottom w:val="0"/>
      <w:divBdr>
        <w:top w:val="none" w:sz="0" w:space="0" w:color="auto"/>
        <w:left w:val="none" w:sz="0" w:space="0" w:color="auto"/>
        <w:bottom w:val="none" w:sz="0" w:space="0" w:color="auto"/>
        <w:right w:val="none" w:sz="0" w:space="0" w:color="auto"/>
      </w:divBdr>
    </w:div>
    <w:div w:id="263541128">
      <w:bodyDiv w:val="1"/>
      <w:marLeft w:val="0"/>
      <w:marRight w:val="0"/>
      <w:marTop w:val="0"/>
      <w:marBottom w:val="0"/>
      <w:divBdr>
        <w:top w:val="none" w:sz="0" w:space="0" w:color="auto"/>
        <w:left w:val="none" w:sz="0" w:space="0" w:color="auto"/>
        <w:bottom w:val="none" w:sz="0" w:space="0" w:color="auto"/>
        <w:right w:val="none" w:sz="0" w:space="0" w:color="auto"/>
      </w:divBdr>
    </w:div>
    <w:div w:id="271398380">
      <w:bodyDiv w:val="1"/>
      <w:marLeft w:val="0"/>
      <w:marRight w:val="0"/>
      <w:marTop w:val="0"/>
      <w:marBottom w:val="0"/>
      <w:divBdr>
        <w:top w:val="none" w:sz="0" w:space="0" w:color="auto"/>
        <w:left w:val="none" w:sz="0" w:space="0" w:color="auto"/>
        <w:bottom w:val="none" w:sz="0" w:space="0" w:color="auto"/>
        <w:right w:val="none" w:sz="0" w:space="0" w:color="auto"/>
      </w:divBdr>
    </w:div>
    <w:div w:id="394667530">
      <w:bodyDiv w:val="1"/>
      <w:marLeft w:val="0"/>
      <w:marRight w:val="0"/>
      <w:marTop w:val="0"/>
      <w:marBottom w:val="0"/>
      <w:divBdr>
        <w:top w:val="none" w:sz="0" w:space="0" w:color="auto"/>
        <w:left w:val="none" w:sz="0" w:space="0" w:color="auto"/>
        <w:bottom w:val="none" w:sz="0" w:space="0" w:color="auto"/>
        <w:right w:val="none" w:sz="0" w:space="0" w:color="auto"/>
      </w:divBdr>
    </w:div>
    <w:div w:id="729423688">
      <w:bodyDiv w:val="1"/>
      <w:marLeft w:val="0"/>
      <w:marRight w:val="0"/>
      <w:marTop w:val="0"/>
      <w:marBottom w:val="0"/>
      <w:divBdr>
        <w:top w:val="none" w:sz="0" w:space="0" w:color="auto"/>
        <w:left w:val="none" w:sz="0" w:space="0" w:color="auto"/>
        <w:bottom w:val="none" w:sz="0" w:space="0" w:color="auto"/>
        <w:right w:val="none" w:sz="0" w:space="0" w:color="auto"/>
      </w:divBdr>
    </w:div>
    <w:div w:id="730345523">
      <w:bodyDiv w:val="1"/>
      <w:marLeft w:val="0"/>
      <w:marRight w:val="0"/>
      <w:marTop w:val="0"/>
      <w:marBottom w:val="0"/>
      <w:divBdr>
        <w:top w:val="none" w:sz="0" w:space="0" w:color="auto"/>
        <w:left w:val="none" w:sz="0" w:space="0" w:color="auto"/>
        <w:bottom w:val="none" w:sz="0" w:space="0" w:color="auto"/>
        <w:right w:val="none" w:sz="0" w:space="0" w:color="auto"/>
      </w:divBdr>
    </w:div>
    <w:div w:id="869420229">
      <w:bodyDiv w:val="1"/>
      <w:marLeft w:val="0"/>
      <w:marRight w:val="0"/>
      <w:marTop w:val="0"/>
      <w:marBottom w:val="0"/>
      <w:divBdr>
        <w:top w:val="none" w:sz="0" w:space="0" w:color="auto"/>
        <w:left w:val="none" w:sz="0" w:space="0" w:color="auto"/>
        <w:bottom w:val="none" w:sz="0" w:space="0" w:color="auto"/>
        <w:right w:val="none" w:sz="0" w:space="0" w:color="auto"/>
      </w:divBdr>
    </w:div>
    <w:div w:id="905914216">
      <w:bodyDiv w:val="1"/>
      <w:marLeft w:val="0"/>
      <w:marRight w:val="0"/>
      <w:marTop w:val="0"/>
      <w:marBottom w:val="0"/>
      <w:divBdr>
        <w:top w:val="none" w:sz="0" w:space="0" w:color="auto"/>
        <w:left w:val="none" w:sz="0" w:space="0" w:color="auto"/>
        <w:bottom w:val="none" w:sz="0" w:space="0" w:color="auto"/>
        <w:right w:val="none" w:sz="0" w:space="0" w:color="auto"/>
      </w:divBdr>
    </w:div>
    <w:div w:id="920719368">
      <w:bodyDiv w:val="1"/>
      <w:marLeft w:val="0"/>
      <w:marRight w:val="0"/>
      <w:marTop w:val="0"/>
      <w:marBottom w:val="0"/>
      <w:divBdr>
        <w:top w:val="none" w:sz="0" w:space="0" w:color="auto"/>
        <w:left w:val="none" w:sz="0" w:space="0" w:color="auto"/>
        <w:bottom w:val="none" w:sz="0" w:space="0" w:color="auto"/>
        <w:right w:val="none" w:sz="0" w:space="0" w:color="auto"/>
      </w:divBdr>
    </w:div>
    <w:div w:id="931663104">
      <w:bodyDiv w:val="1"/>
      <w:marLeft w:val="0"/>
      <w:marRight w:val="0"/>
      <w:marTop w:val="0"/>
      <w:marBottom w:val="0"/>
      <w:divBdr>
        <w:top w:val="none" w:sz="0" w:space="0" w:color="auto"/>
        <w:left w:val="none" w:sz="0" w:space="0" w:color="auto"/>
        <w:bottom w:val="none" w:sz="0" w:space="0" w:color="auto"/>
        <w:right w:val="none" w:sz="0" w:space="0" w:color="auto"/>
      </w:divBdr>
    </w:div>
    <w:div w:id="1123887296">
      <w:bodyDiv w:val="1"/>
      <w:marLeft w:val="0"/>
      <w:marRight w:val="0"/>
      <w:marTop w:val="0"/>
      <w:marBottom w:val="0"/>
      <w:divBdr>
        <w:top w:val="none" w:sz="0" w:space="0" w:color="auto"/>
        <w:left w:val="none" w:sz="0" w:space="0" w:color="auto"/>
        <w:bottom w:val="none" w:sz="0" w:space="0" w:color="auto"/>
        <w:right w:val="none" w:sz="0" w:space="0" w:color="auto"/>
      </w:divBdr>
    </w:div>
    <w:div w:id="1174999345">
      <w:bodyDiv w:val="1"/>
      <w:marLeft w:val="0"/>
      <w:marRight w:val="0"/>
      <w:marTop w:val="0"/>
      <w:marBottom w:val="0"/>
      <w:divBdr>
        <w:top w:val="none" w:sz="0" w:space="0" w:color="auto"/>
        <w:left w:val="none" w:sz="0" w:space="0" w:color="auto"/>
        <w:bottom w:val="none" w:sz="0" w:space="0" w:color="auto"/>
        <w:right w:val="none" w:sz="0" w:space="0" w:color="auto"/>
      </w:divBdr>
    </w:div>
    <w:div w:id="1249387362">
      <w:bodyDiv w:val="1"/>
      <w:marLeft w:val="0"/>
      <w:marRight w:val="0"/>
      <w:marTop w:val="0"/>
      <w:marBottom w:val="0"/>
      <w:divBdr>
        <w:top w:val="none" w:sz="0" w:space="0" w:color="auto"/>
        <w:left w:val="none" w:sz="0" w:space="0" w:color="auto"/>
        <w:bottom w:val="none" w:sz="0" w:space="0" w:color="auto"/>
        <w:right w:val="none" w:sz="0" w:space="0" w:color="auto"/>
      </w:divBdr>
      <w:divsChild>
        <w:div w:id="1973436163">
          <w:marLeft w:val="0"/>
          <w:marRight w:val="0"/>
          <w:marTop w:val="162"/>
          <w:marBottom w:val="162"/>
          <w:divBdr>
            <w:top w:val="none" w:sz="0" w:space="0" w:color="auto"/>
            <w:left w:val="none" w:sz="0" w:space="0" w:color="auto"/>
            <w:bottom w:val="none" w:sz="0" w:space="0" w:color="auto"/>
            <w:right w:val="none" w:sz="0" w:space="0" w:color="auto"/>
          </w:divBdr>
        </w:div>
        <w:div w:id="2071535497">
          <w:marLeft w:val="0"/>
          <w:marRight w:val="0"/>
          <w:marTop w:val="162"/>
          <w:marBottom w:val="162"/>
          <w:divBdr>
            <w:top w:val="none" w:sz="0" w:space="0" w:color="auto"/>
            <w:left w:val="none" w:sz="0" w:space="0" w:color="auto"/>
            <w:bottom w:val="none" w:sz="0" w:space="0" w:color="auto"/>
            <w:right w:val="none" w:sz="0" w:space="0" w:color="auto"/>
          </w:divBdr>
        </w:div>
      </w:divsChild>
    </w:div>
    <w:div w:id="1387952072">
      <w:bodyDiv w:val="1"/>
      <w:marLeft w:val="0"/>
      <w:marRight w:val="0"/>
      <w:marTop w:val="0"/>
      <w:marBottom w:val="0"/>
      <w:divBdr>
        <w:top w:val="none" w:sz="0" w:space="0" w:color="auto"/>
        <w:left w:val="none" w:sz="0" w:space="0" w:color="auto"/>
        <w:bottom w:val="none" w:sz="0" w:space="0" w:color="auto"/>
        <w:right w:val="none" w:sz="0" w:space="0" w:color="auto"/>
      </w:divBdr>
    </w:div>
    <w:div w:id="1420178565">
      <w:bodyDiv w:val="1"/>
      <w:marLeft w:val="0"/>
      <w:marRight w:val="0"/>
      <w:marTop w:val="0"/>
      <w:marBottom w:val="0"/>
      <w:divBdr>
        <w:top w:val="none" w:sz="0" w:space="0" w:color="auto"/>
        <w:left w:val="none" w:sz="0" w:space="0" w:color="auto"/>
        <w:bottom w:val="none" w:sz="0" w:space="0" w:color="auto"/>
        <w:right w:val="none" w:sz="0" w:space="0" w:color="auto"/>
      </w:divBdr>
    </w:div>
    <w:div w:id="1449472819">
      <w:bodyDiv w:val="1"/>
      <w:marLeft w:val="0"/>
      <w:marRight w:val="0"/>
      <w:marTop w:val="0"/>
      <w:marBottom w:val="0"/>
      <w:divBdr>
        <w:top w:val="none" w:sz="0" w:space="0" w:color="auto"/>
        <w:left w:val="none" w:sz="0" w:space="0" w:color="auto"/>
        <w:bottom w:val="none" w:sz="0" w:space="0" w:color="auto"/>
        <w:right w:val="none" w:sz="0" w:space="0" w:color="auto"/>
      </w:divBdr>
    </w:div>
    <w:div w:id="1472478950">
      <w:bodyDiv w:val="1"/>
      <w:marLeft w:val="0"/>
      <w:marRight w:val="0"/>
      <w:marTop w:val="0"/>
      <w:marBottom w:val="0"/>
      <w:divBdr>
        <w:top w:val="none" w:sz="0" w:space="0" w:color="auto"/>
        <w:left w:val="none" w:sz="0" w:space="0" w:color="auto"/>
        <w:bottom w:val="none" w:sz="0" w:space="0" w:color="auto"/>
        <w:right w:val="none" w:sz="0" w:space="0" w:color="auto"/>
      </w:divBdr>
    </w:div>
    <w:div w:id="1637291732">
      <w:bodyDiv w:val="1"/>
      <w:marLeft w:val="0"/>
      <w:marRight w:val="0"/>
      <w:marTop w:val="0"/>
      <w:marBottom w:val="0"/>
      <w:divBdr>
        <w:top w:val="none" w:sz="0" w:space="0" w:color="auto"/>
        <w:left w:val="none" w:sz="0" w:space="0" w:color="auto"/>
        <w:bottom w:val="none" w:sz="0" w:space="0" w:color="auto"/>
        <w:right w:val="none" w:sz="0" w:space="0" w:color="auto"/>
      </w:divBdr>
    </w:div>
    <w:div w:id="1733964223">
      <w:bodyDiv w:val="1"/>
      <w:marLeft w:val="0"/>
      <w:marRight w:val="0"/>
      <w:marTop w:val="0"/>
      <w:marBottom w:val="0"/>
      <w:divBdr>
        <w:top w:val="none" w:sz="0" w:space="0" w:color="auto"/>
        <w:left w:val="none" w:sz="0" w:space="0" w:color="auto"/>
        <w:bottom w:val="none" w:sz="0" w:space="0" w:color="auto"/>
        <w:right w:val="none" w:sz="0" w:space="0" w:color="auto"/>
      </w:divBdr>
    </w:div>
    <w:div w:id="1740207718">
      <w:bodyDiv w:val="1"/>
      <w:marLeft w:val="0"/>
      <w:marRight w:val="0"/>
      <w:marTop w:val="0"/>
      <w:marBottom w:val="0"/>
      <w:divBdr>
        <w:top w:val="none" w:sz="0" w:space="0" w:color="auto"/>
        <w:left w:val="none" w:sz="0" w:space="0" w:color="auto"/>
        <w:bottom w:val="none" w:sz="0" w:space="0" w:color="auto"/>
        <w:right w:val="none" w:sz="0" w:space="0" w:color="auto"/>
      </w:divBdr>
    </w:div>
    <w:div w:id="1765958559">
      <w:bodyDiv w:val="1"/>
      <w:marLeft w:val="0"/>
      <w:marRight w:val="0"/>
      <w:marTop w:val="0"/>
      <w:marBottom w:val="0"/>
      <w:divBdr>
        <w:top w:val="none" w:sz="0" w:space="0" w:color="auto"/>
        <w:left w:val="none" w:sz="0" w:space="0" w:color="auto"/>
        <w:bottom w:val="none" w:sz="0" w:space="0" w:color="auto"/>
        <w:right w:val="none" w:sz="0" w:space="0" w:color="auto"/>
      </w:divBdr>
    </w:div>
    <w:div w:id="1787385105">
      <w:bodyDiv w:val="1"/>
      <w:marLeft w:val="0"/>
      <w:marRight w:val="0"/>
      <w:marTop w:val="0"/>
      <w:marBottom w:val="0"/>
      <w:divBdr>
        <w:top w:val="none" w:sz="0" w:space="0" w:color="auto"/>
        <w:left w:val="none" w:sz="0" w:space="0" w:color="auto"/>
        <w:bottom w:val="none" w:sz="0" w:space="0" w:color="auto"/>
        <w:right w:val="none" w:sz="0" w:space="0" w:color="auto"/>
      </w:divBdr>
    </w:div>
    <w:div w:id="1932617167">
      <w:bodyDiv w:val="1"/>
      <w:marLeft w:val="0"/>
      <w:marRight w:val="0"/>
      <w:marTop w:val="0"/>
      <w:marBottom w:val="0"/>
      <w:divBdr>
        <w:top w:val="none" w:sz="0" w:space="0" w:color="auto"/>
        <w:left w:val="none" w:sz="0" w:space="0" w:color="auto"/>
        <w:bottom w:val="none" w:sz="0" w:space="0" w:color="auto"/>
        <w:right w:val="none" w:sz="0" w:space="0" w:color="auto"/>
      </w:divBdr>
    </w:div>
    <w:div w:id="1980380488">
      <w:bodyDiv w:val="1"/>
      <w:marLeft w:val="0"/>
      <w:marRight w:val="0"/>
      <w:marTop w:val="0"/>
      <w:marBottom w:val="0"/>
      <w:divBdr>
        <w:top w:val="none" w:sz="0" w:space="0" w:color="auto"/>
        <w:left w:val="none" w:sz="0" w:space="0" w:color="auto"/>
        <w:bottom w:val="none" w:sz="0" w:space="0" w:color="auto"/>
        <w:right w:val="none" w:sz="0" w:space="0" w:color="auto"/>
      </w:divBdr>
    </w:div>
    <w:div w:id="2078823546">
      <w:bodyDiv w:val="1"/>
      <w:marLeft w:val="0"/>
      <w:marRight w:val="0"/>
      <w:marTop w:val="0"/>
      <w:marBottom w:val="0"/>
      <w:divBdr>
        <w:top w:val="none" w:sz="0" w:space="0" w:color="auto"/>
        <w:left w:val="none" w:sz="0" w:space="0" w:color="auto"/>
        <w:bottom w:val="none" w:sz="0" w:space="0" w:color="auto"/>
        <w:right w:val="none" w:sz="0" w:space="0" w:color="auto"/>
      </w:divBdr>
    </w:div>
    <w:div w:id="2079089298">
      <w:bodyDiv w:val="1"/>
      <w:marLeft w:val="0"/>
      <w:marRight w:val="0"/>
      <w:marTop w:val="0"/>
      <w:marBottom w:val="0"/>
      <w:divBdr>
        <w:top w:val="none" w:sz="0" w:space="0" w:color="auto"/>
        <w:left w:val="none" w:sz="0" w:space="0" w:color="auto"/>
        <w:bottom w:val="none" w:sz="0" w:space="0" w:color="auto"/>
        <w:right w:val="none" w:sz="0" w:space="0" w:color="auto"/>
      </w:divBdr>
    </w:div>
    <w:div w:id="2093426334">
      <w:bodyDiv w:val="1"/>
      <w:marLeft w:val="0"/>
      <w:marRight w:val="0"/>
      <w:marTop w:val="0"/>
      <w:marBottom w:val="0"/>
      <w:divBdr>
        <w:top w:val="none" w:sz="0" w:space="0" w:color="auto"/>
        <w:left w:val="none" w:sz="0" w:space="0" w:color="auto"/>
        <w:bottom w:val="none" w:sz="0" w:space="0" w:color="auto"/>
        <w:right w:val="none" w:sz="0" w:space="0" w:color="auto"/>
      </w:divBdr>
    </w:div>
    <w:div w:id="21025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maf.doc.linkToDocument('LEG+1889+27',%20'LEG_1889_27_A_56',%20'LEG+1889+27*A.56',%20'spa');" TargetMode="External"/><Relationship Id="rId1" Type="http://schemas.openxmlformats.org/officeDocument/2006/relationships/hyperlink" Target="javascript:maf.doc.linkToDocument('LEG+1889+27',%20'LEG_1889_27_A_171',%20'LEG+1889+27*A.171',%20's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2C05-1EB7-4242-8D7F-6DE2347D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14893</Words>
  <Characters>81916</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Angel Gomez Valenzuela</dc:creator>
  <cp:lastModifiedBy>Manuel Angel Gomez Valenzuela</cp:lastModifiedBy>
  <cp:revision>2</cp:revision>
  <cp:lastPrinted>2021-07-17T09:52:00Z</cp:lastPrinted>
  <dcterms:created xsi:type="dcterms:W3CDTF">2022-05-03T11:35:00Z</dcterms:created>
  <dcterms:modified xsi:type="dcterms:W3CDTF">2022-05-03T11:35:00Z</dcterms:modified>
</cp:coreProperties>
</file>